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957766969"/>
        <w:lock w:val="sdtLocked"/>
        <w:placeholder>
          <w:docPart w:val="2E1D5F1410C84B4BADBCECF52C45F4EE"/>
        </w:placeholder>
        <w:dataBinding w:prefixMappings="xmlns:ns0='http://purl.org/dc/elements/1.1/' xmlns:ns1='http://schemas.openxmlformats.org/package/2006/metadata/core-properties' " w:xpath="/ns1:coreProperties[1]/ns0:title[1]" w:storeItemID="{6C3C8BC8-F283-45AE-878A-BAB7291924A1}"/>
        <w:text/>
      </w:sdtPr>
      <w:sdtEndPr/>
      <w:sdtContent>
        <w:p w:rsidR="00F212D4" w:rsidRPr="001A3F6E" w:rsidRDefault="00164BE1" w:rsidP="00164BE1">
          <w:pPr>
            <w:pStyle w:val="Title"/>
            <w:spacing w:before="120" w:after="120"/>
          </w:pPr>
          <w:r>
            <w:t>Gifts, Benefits and Hospitality Policy</w:t>
          </w:r>
        </w:p>
      </w:sdtContent>
    </w:sdt>
    <w:p w:rsidR="00F212D4" w:rsidRPr="00164BE1" w:rsidRDefault="00F212D4" w:rsidP="00164BE1">
      <w:pPr>
        <w:pStyle w:val="Heading1"/>
        <w:rPr>
          <w:szCs w:val="24"/>
        </w:rPr>
      </w:pPr>
      <w:r w:rsidRPr="00164BE1">
        <w:rPr>
          <w:szCs w:val="24"/>
        </w:rPr>
        <w:t>Policy statement</w:t>
      </w:r>
      <w:r w:rsidR="00BC63C5">
        <w:rPr>
          <w:szCs w:val="24"/>
        </w:rPr>
        <w:t xml:space="preserve"> </w:t>
      </w:r>
    </w:p>
    <w:p w:rsidR="00164BE1" w:rsidRPr="00164BE1" w:rsidRDefault="00164BE1" w:rsidP="00164BE1">
      <w:pPr>
        <w:spacing w:line="240" w:lineRule="auto"/>
        <w:rPr>
          <w:rFonts w:asciiTheme="majorHAnsi" w:hAnsiTheme="majorHAnsi" w:cstheme="majorHAnsi"/>
          <w:sz w:val="24"/>
          <w:szCs w:val="24"/>
        </w:rPr>
      </w:pPr>
      <w:r w:rsidRPr="00164BE1">
        <w:rPr>
          <w:rFonts w:asciiTheme="majorHAnsi" w:hAnsiTheme="majorHAnsi" w:cstheme="majorHAnsi"/>
          <w:sz w:val="24"/>
          <w:szCs w:val="24"/>
        </w:rPr>
        <w:t>This policy states Gippsland Water</w:t>
      </w:r>
      <w:r w:rsidR="007E46CA">
        <w:rPr>
          <w:rFonts w:asciiTheme="majorHAnsi" w:hAnsiTheme="majorHAnsi" w:cstheme="majorHAnsi"/>
          <w:sz w:val="24"/>
          <w:szCs w:val="24"/>
        </w:rPr>
        <w:t>’s</w:t>
      </w:r>
      <w:r w:rsidRPr="00164BE1">
        <w:rPr>
          <w:rFonts w:asciiTheme="majorHAnsi" w:hAnsiTheme="majorHAnsi" w:cstheme="majorHAnsi"/>
          <w:sz w:val="24"/>
          <w:szCs w:val="24"/>
        </w:rPr>
        <w:t xml:space="preserve"> position on:</w:t>
      </w:r>
    </w:p>
    <w:p w:rsidR="00164BE1" w:rsidRPr="00164BE1" w:rsidRDefault="00164BE1" w:rsidP="00164BE1">
      <w:pPr>
        <w:pStyle w:val="ListParagraph"/>
        <w:numPr>
          <w:ilvl w:val="0"/>
          <w:numId w:val="4"/>
        </w:numPr>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responding to offers of gifts, benefits and hospitality; and</w:t>
      </w:r>
    </w:p>
    <w:p w:rsidR="00164BE1" w:rsidRPr="00164BE1" w:rsidRDefault="00164BE1" w:rsidP="00164BE1">
      <w:pPr>
        <w:pStyle w:val="ListParagraph"/>
        <w:numPr>
          <w:ilvl w:val="0"/>
          <w:numId w:val="4"/>
        </w:numPr>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 xml:space="preserve">providing gifts, benefits and hospitality. </w:t>
      </w:r>
    </w:p>
    <w:p w:rsidR="00F212D4" w:rsidRPr="00164BE1" w:rsidRDefault="00F212D4" w:rsidP="00164BE1">
      <w:pPr>
        <w:pStyle w:val="Heading1"/>
        <w:rPr>
          <w:szCs w:val="24"/>
        </w:rPr>
      </w:pPr>
      <w:r w:rsidRPr="00164BE1">
        <w:rPr>
          <w:szCs w:val="24"/>
        </w:rPr>
        <w:t>Purpose</w:t>
      </w:r>
    </w:p>
    <w:p w:rsidR="00E628D7" w:rsidRPr="00164BE1" w:rsidRDefault="00E628D7" w:rsidP="00E628D7">
      <w:pPr>
        <w:spacing w:line="240" w:lineRule="auto"/>
        <w:rPr>
          <w:rFonts w:asciiTheme="majorHAnsi" w:hAnsiTheme="majorHAnsi" w:cstheme="majorHAnsi"/>
          <w:sz w:val="24"/>
          <w:szCs w:val="24"/>
        </w:rPr>
      </w:pPr>
      <w:r w:rsidRPr="00164BE1">
        <w:rPr>
          <w:rFonts w:asciiTheme="majorHAnsi" w:hAnsiTheme="majorHAnsi" w:cstheme="majorHAnsi"/>
          <w:sz w:val="24"/>
          <w:szCs w:val="24"/>
        </w:rPr>
        <w:t xml:space="preserve">This policy is intended to support individuals and Gippsland Water to avoid conflicts of interest and maintain high levels of integrity and public trust. </w:t>
      </w:r>
    </w:p>
    <w:p w:rsidR="00E628D7" w:rsidRPr="00164BE1" w:rsidRDefault="00E628D7" w:rsidP="00E628D7">
      <w:pPr>
        <w:spacing w:line="240" w:lineRule="auto"/>
        <w:rPr>
          <w:rFonts w:asciiTheme="majorHAnsi" w:hAnsiTheme="majorHAnsi" w:cstheme="majorHAnsi"/>
          <w:sz w:val="24"/>
          <w:szCs w:val="24"/>
        </w:rPr>
      </w:pPr>
      <w:r w:rsidRPr="00164BE1">
        <w:rPr>
          <w:rFonts w:asciiTheme="majorHAnsi" w:hAnsiTheme="majorHAnsi" w:cstheme="majorHAnsi"/>
          <w:sz w:val="24"/>
          <w:szCs w:val="24"/>
        </w:rPr>
        <w:t>Gippsland Water has issued this policy to support behaviour consistent with the Code of conduct for Victorian public sector employees (the Code). All employees are required under clause 1.2 of the Code to comply with this policy.</w:t>
      </w:r>
    </w:p>
    <w:p w:rsidR="00F212D4" w:rsidRPr="00164BE1" w:rsidRDefault="00F212D4" w:rsidP="00164BE1">
      <w:pPr>
        <w:pStyle w:val="Heading1"/>
        <w:rPr>
          <w:szCs w:val="24"/>
        </w:rPr>
      </w:pPr>
      <w:r w:rsidRPr="00164BE1">
        <w:rPr>
          <w:szCs w:val="24"/>
        </w:rPr>
        <w:t>Scope</w:t>
      </w:r>
    </w:p>
    <w:p w:rsidR="00EB31A2" w:rsidRPr="00164BE1" w:rsidRDefault="00164BE1" w:rsidP="00164BE1">
      <w:pPr>
        <w:spacing w:line="240" w:lineRule="auto"/>
        <w:rPr>
          <w:rFonts w:asciiTheme="majorHAnsi" w:hAnsiTheme="majorHAnsi" w:cstheme="majorHAnsi"/>
          <w:sz w:val="24"/>
          <w:szCs w:val="24"/>
        </w:rPr>
      </w:pPr>
      <w:r w:rsidRPr="00164BE1">
        <w:rPr>
          <w:rFonts w:asciiTheme="majorHAnsi" w:hAnsiTheme="majorHAnsi" w:cstheme="majorHAnsi"/>
          <w:sz w:val="24"/>
          <w:szCs w:val="24"/>
        </w:rPr>
        <w:t>This policy applies to all board members and employees (for the purposes of this policy, an employee is defined as being any casual, part time, fulltime, contract employee or board member of Gippsland Water as well as any person performing work on behalf of Gippsland Water such as independent committee members, contractors</w:t>
      </w:r>
      <w:r w:rsidRPr="00164BE1">
        <w:rPr>
          <w:rStyle w:val="FootnoteReference"/>
          <w:rFonts w:asciiTheme="majorHAnsi" w:hAnsiTheme="majorHAnsi" w:cstheme="majorHAnsi"/>
          <w:sz w:val="24"/>
          <w:szCs w:val="24"/>
        </w:rPr>
        <w:footnoteReference w:id="1"/>
      </w:r>
      <w:r w:rsidRPr="00164BE1">
        <w:rPr>
          <w:rFonts w:asciiTheme="majorHAnsi" w:hAnsiTheme="majorHAnsi" w:cstheme="majorHAnsi"/>
          <w:sz w:val="24"/>
          <w:szCs w:val="24"/>
        </w:rPr>
        <w:t>, consultants, volunteers, industry placement students, trainees and work experience students)</w:t>
      </w:r>
      <w:r w:rsidR="007E46CA">
        <w:rPr>
          <w:rFonts w:asciiTheme="majorHAnsi" w:hAnsiTheme="majorHAnsi" w:cstheme="majorHAnsi"/>
          <w:sz w:val="24"/>
          <w:szCs w:val="24"/>
        </w:rPr>
        <w:t>.</w:t>
      </w:r>
    </w:p>
    <w:p w:rsidR="00F212D4" w:rsidRPr="00164BE1" w:rsidRDefault="00F212D4" w:rsidP="00164BE1">
      <w:pPr>
        <w:pStyle w:val="Heading1"/>
        <w:rPr>
          <w:szCs w:val="24"/>
        </w:rPr>
      </w:pPr>
      <w:r w:rsidRPr="00164BE1">
        <w:rPr>
          <w:szCs w:val="24"/>
        </w:rPr>
        <w:t xml:space="preserve">Policy </w:t>
      </w:r>
      <w:r w:rsidR="00BC63C5">
        <w:rPr>
          <w:szCs w:val="24"/>
        </w:rPr>
        <w:t>principles</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This policy has been developed in accordance with requirements outlined in the </w:t>
      </w:r>
      <w:r w:rsidRPr="00164BE1">
        <w:rPr>
          <w:rFonts w:asciiTheme="majorHAnsi" w:hAnsiTheme="majorHAnsi" w:cstheme="majorHAnsi"/>
          <w:i/>
          <w:sz w:val="24"/>
          <w:szCs w:val="24"/>
          <w:lang w:val="en-AU"/>
        </w:rPr>
        <w:t xml:space="preserve">Minimum accountabilities for managing gifts, benefits and hospitality </w:t>
      </w:r>
      <w:r w:rsidRPr="00164BE1">
        <w:rPr>
          <w:rFonts w:asciiTheme="majorHAnsi" w:hAnsiTheme="majorHAnsi" w:cstheme="majorHAnsi"/>
          <w:sz w:val="24"/>
          <w:szCs w:val="24"/>
          <w:lang w:val="en-AU"/>
        </w:rPr>
        <w:t xml:space="preserve">issued by the Victorian Public Sector Commission.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Gippsland Water is committed to and will uphold the following principles in applying this policy:</w:t>
      </w:r>
    </w:p>
    <w:p w:rsidR="00164BE1" w:rsidRPr="00164BE1" w:rsidRDefault="00BC63C5" w:rsidP="00B72A2C">
      <w:pPr>
        <w:pStyle w:val="BodyText"/>
        <w:spacing w:before="120"/>
        <w:rPr>
          <w:rFonts w:asciiTheme="majorHAnsi" w:hAnsiTheme="majorHAnsi" w:cstheme="majorHAnsi"/>
          <w:sz w:val="24"/>
          <w:szCs w:val="24"/>
          <w:lang w:val="en-AU"/>
        </w:rPr>
      </w:pPr>
      <w:r>
        <w:rPr>
          <w:rFonts w:asciiTheme="majorHAnsi" w:hAnsiTheme="majorHAnsi" w:cstheme="majorHAnsi"/>
          <w:b/>
          <w:sz w:val="24"/>
          <w:szCs w:val="24"/>
          <w:u w:val="single"/>
          <w:lang w:val="en-AU"/>
        </w:rPr>
        <w:t>Impartiality:</w:t>
      </w:r>
      <w:r w:rsidR="00164BE1" w:rsidRPr="00164BE1">
        <w:rPr>
          <w:rFonts w:asciiTheme="majorHAnsi" w:hAnsiTheme="majorHAnsi" w:cstheme="majorHAnsi"/>
          <w:sz w:val="24"/>
          <w:szCs w:val="24"/>
          <w:lang w:val="en-AU"/>
        </w:rPr>
        <w:t xml:space="preserve"> individuals have a duty to place the public interest above their private interests when carrying out their official functions. They will not accept gifts, benefits or hospitality that could raise a perception of, or actual, bias or preferential treatment. Individuals do not accept offers from those about whom they are likely to make business decisions. </w:t>
      </w:r>
    </w:p>
    <w:p w:rsidR="00164BE1" w:rsidRPr="00164BE1" w:rsidRDefault="00164BE1" w:rsidP="00B72A2C">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u w:val="single"/>
          <w:lang w:val="en-AU"/>
        </w:rPr>
        <w:t>Accountability:</w:t>
      </w:r>
      <w:r w:rsidRPr="00164BE1">
        <w:rPr>
          <w:rFonts w:asciiTheme="majorHAnsi" w:hAnsiTheme="majorHAnsi" w:cstheme="majorHAnsi"/>
          <w:sz w:val="24"/>
          <w:szCs w:val="24"/>
          <w:lang w:val="en-AU"/>
        </w:rPr>
        <w:t xml:space="preserve"> individuals are accountable for:</w:t>
      </w:r>
    </w:p>
    <w:p w:rsidR="00164BE1" w:rsidRPr="00164BE1" w:rsidRDefault="00164BE1" w:rsidP="00B72A2C">
      <w:pPr>
        <w:pStyle w:val="BodyText"/>
        <w:numPr>
          <w:ilvl w:val="0"/>
          <w:numId w:val="5"/>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declaring all non-token offers of gifts, benefits and hospitality; </w:t>
      </w:r>
    </w:p>
    <w:p w:rsidR="00164BE1" w:rsidRPr="00164BE1" w:rsidRDefault="00164BE1" w:rsidP="00B72A2C">
      <w:pPr>
        <w:pStyle w:val="BodyText"/>
        <w:numPr>
          <w:ilvl w:val="0"/>
          <w:numId w:val="5"/>
        </w:numPr>
        <w:tabs>
          <w:tab w:val="clear" w:pos="360"/>
          <w:tab w:val="num" w:pos="-360"/>
        </w:tabs>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declining non-token offers of gifts, benefits and hospitality, or where an exception applies under this policy, seeking approval to accept the offer; and</w:t>
      </w:r>
    </w:p>
    <w:p w:rsidR="00164BE1" w:rsidRPr="00164BE1" w:rsidRDefault="00164BE1" w:rsidP="00B72A2C">
      <w:pPr>
        <w:pStyle w:val="BodyText"/>
        <w:numPr>
          <w:ilvl w:val="0"/>
          <w:numId w:val="5"/>
        </w:numPr>
        <w:tabs>
          <w:tab w:val="clear" w:pos="360"/>
          <w:tab w:val="num" w:pos="-360"/>
        </w:tabs>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the responsible provision of gifts, benefits and hospitality.</w:t>
      </w:r>
    </w:p>
    <w:p w:rsidR="00164BE1" w:rsidRPr="00164BE1" w:rsidRDefault="00164BE1" w:rsidP="00B72A2C">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Individuals with direct reports are accountable for overseeing management of their direct reports’ acceptance or refusal of non-token gifts, benefits and hospitality, modelling good practice and promoting awareness of gifts, benefits and hospitality policies and processes.  </w:t>
      </w:r>
    </w:p>
    <w:p w:rsidR="00BC63C5" w:rsidRDefault="00BC63C5" w:rsidP="00B72A2C">
      <w:pPr>
        <w:pStyle w:val="BodyText"/>
        <w:spacing w:before="120"/>
        <w:rPr>
          <w:rFonts w:asciiTheme="majorHAnsi" w:hAnsiTheme="majorHAnsi" w:cstheme="majorHAnsi"/>
          <w:b/>
          <w:sz w:val="24"/>
          <w:szCs w:val="24"/>
          <w:u w:val="single"/>
          <w:lang w:val="en-AU"/>
        </w:rPr>
      </w:pPr>
      <w:r w:rsidRPr="00BC63C5">
        <w:rPr>
          <w:rFonts w:asciiTheme="majorHAnsi" w:hAnsiTheme="majorHAnsi" w:cstheme="majorHAnsi"/>
          <w:b/>
          <w:sz w:val="24"/>
          <w:szCs w:val="24"/>
          <w:u w:val="single"/>
          <w:lang w:val="en-AU"/>
        </w:rPr>
        <w:t>Integrity</w:t>
      </w:r>
      <w:r w:rsidRPr="00B72A2C">
        <w:rPr>
          <w:rFonts w:asciiTheme="majorHAnsi" w:hAnsiTheme="majorHAnsi" w:cstheme="majorHAnsi"/>
          <w:sz w:val="24"/>
          <w:szCs w:val="24"/>
          <w:lang w:val="en-AU"/>
        </w:rPr>
        <w:t>: individuals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rsidR="00164BE1" w:rsidRPr="00164BE1" w:rsidRDefault="00164BE1" w:rsidP="00B72A2C">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u w:val="single"/>
          <w:lang w:val="en-AU"/>
        </w:rPr>
        <w:t>Risk-based approach:</w:t>
      </w:r>
      <w:r w:rsidRPr="00164BE1">
        <w:rPr>
          <w:rFonts w:asciiTheme="majorHAnsi" w:hAnsiTheme="majorHAnsi" w:cstheme="majorHAnsi"/>
          <w:sz w:val="24"/>
          <w:szCs w:val="24"/>
          <w:lang w:val="en-AU"/>
        </w:rPr>
        <w:t xml:space="preserve"> Gippsland Water, through its policies, processes and Audit and Risk Committee, will ensure gifts, benefits and hospitality risks are appropriately assessed and managed. Individuals with direct reports will ensure they are aware of the risks inherent in their team’s work and functions and monitor the risks to which their direct reports are exposed. </w:t>
      </w:r>
    </w:p>
    <w:p w:rsidR="00164BE1" w:rsidRPr="00B72A2C" w:rsidRDefault="00164BE1" w:rsidP="00164BE1">
      <w:pPr>
        <w:pStyle w:val="Heading2"/>
        <w:rPr>
          <w:sz w:val="24"/>
        </w:rPr>
      </w:pPr>
      <w:r w:rsidRPr="00B72A2C">
        <w:rPr>
          <w:sz w:val="24"/>
        </w:rPr>
        <w:t>Minimum accountabilities</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The Victorian Public Sector Commission has set binding minimum accountabilities for the appropriate management of gifts, benefit and hospitality. These can be found at </w:t>
      </w:r>
      <w:hyperlink w:anchor="_Appendix_1" w:history="1">
        <w:r w:rsidRPr="00164BE1">
          <w:rPr>
            <w:rStyle w:val="Hyperlink"/>
            <w:rFonts w:asciiTheme="majorHAnsi" w:hAnsiTheme="majorHAnsi" w:cstheme="majorHAnsi"/>
            <w:sz w:val="24"/>
            <w:szCs w:val="24"/>
            <w:lang w:val="en-AU"/>
          </w:rPr>
          <w:t>Appendix 1</w:t>
        </w:r>
      </w:hyperlink>
      <w:r w:rsidRPr="00164BE1">
        <w:rPr>
          <w:rFonts w:asciiTheme="majorHAnsi" w:hAnsiTheme="majorHAnsi" w:cstheme="majorHAnsi"/>
          <w:sz w:val="24"/>
          <w:szCs w:val="24"/>
          <w:lang w:val="en-AU"/>
        </w:rPr>
        <w:t xml:space="preserve">. </w:t>
      </w:r>
    </w:p>
    <w:p w:rsidR="00164BE1" w:rsidRPr="00B72A2C" w:rsidRDefault="00164BE1" w:rsidP="00B72A2C">
      <w:pPr>
        <w:pStyle w:val="Heading2"/>
        <w:rPr>
          <w:sz w:val="24"/>
        </w:rPr>
      </w:pPr>
      <w:r w:rsidRPr="00B72A2C">
        <w:rPr>
          <w:sz w:val="24"/>
        </w:rPr>
        <w:t xml:space="preserve">Definitions </w:t>
      </w:r>
    </w:p>
    <w:tbl>
      <w:tblPr>
        <w:tblStyle w:val="GridTable1Light-Accent6"/>
        <w:tblW w:w="5000" w:type="pct"/>
        <w:tblLook w:val="04A0" w:firstRow="1" w:lastRow="0" w:firstColumn="1" w:lastColumn="0" w:noHBand="0" w:noVBand="1"/>
      </w:tblPr>
      <w:tblGrid>
        <w:gridCol w:w="3464"/>
        <w:gridCol w:w="6731"/>
      </w:tblGrid>
      <w:tr w:rsidR="00164BE1" w:rsidRPr="00164BE1" w:rsidTr="00B72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Business associate</w:t>
            </w:r>
          </w:p>
        </w:tc>
        <w:tc>
          <w:tcPr>
            <w:tcW w:w="3301" w:type="pct"/>
            <w:hideMark/>
          </w:tcPr>
          <w:p w:rsidR="00164BE1" w:rsidRPr="00164BE1" w:rsidRDefault="00AC2917" w:rsidP="00B72A2C">
            <w:pPr>
              <w:pStyle w:val="BodyText"/>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lang w:val="en-AU"/>
              </w:rPr>
            </w:pPr>
            <w:r>
              <w:rPr>
                <w:rFonts w:asciiTheme="majorHAnsi" w:hAnsiTheme="majorHAnsi" w:cstheme="majorHAnsi"/>
                <w:b w:val="0"/>
                <w:sz w:val="24"/>
                <w:szCs w:val="24"/>
                <w:lang w:val="en-AU"/>
              </w:rPr>
              <w:t>A</w:t>
            </w:r>
            <w:r w:rsidR="00164BE1" w:rsidRPr="00164BE1">
              <w:rPr>
                <w:rFonts w:asciiTheme="majorHAnsi" w:hAnsiTheme="majorHAnsi" w:cstheme="majorHAnsi"/>
                <w:b w:val="0"/>
                <w:sz w:val="24"/>
                <w:szCs w:val="24"/>
                <w:lang w:val="en-AU"/>
              </w:rPr>
              <w:t xml:space="preserve">n individual or </w:t>
            </w:r>
            <w:r>
              <w:rPr>
                <w:rFonts w:asciiTheme="majorHAnsi" w:hAnsiTheme="majorHAnsi" w:cstheme="majorHAnsi"/>
                <w:b w:val="0"/>
                <w:sz w:val="24"/>
                <w:szCs w:val="24"/>
                <w:lang w:val="en-AU"/>
              </w:rPr>
              <w:t>body</w:t>
            </w:r>
            <w:r w:rsidRPr="00164BE1">
              <w:rPr>
                <w:rFonts w:asciiTheme="majorHAnsi" w:hAnsiTheme="majorHAnsi" w:cstheme="majorHAnsi"/>
                <w:b w:val="0"/>
                <w:sz w:val="24"/>
                <w:szCs w:val="24"/>
                <w:lang w:val="en-AU"/>
              </w:rPr>
              <w:t xml:space="preserve"> </w:t>
            </w:r>
            <w:r w:rsidR="00164BE1" w:rsidRPr="00164BE1">
              <w:rPr>
                <w:rFonts w:asciiTheme="majorHAnsi" w:hAnsiTheme="majorHAnsi" w:cstheme="majorHAnsi"/>
                <w:b w:val="0"/>
                <w:sz w:val="24"/>
                <w:szCs w:val="24"/>
                <w:lang w:val="en-AU"/>
              </w:rPr>
              <w:t>which the organisation has, or plans to establish, some form of business relationship, or who may seek commercial or other advantage by offering gifts, benefits or hospitality.</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Benefits</w:t>
            </w:r>
          </w:p>
        </w:tc>
        <w:tc>
          <w:tcPr>
            <w:tcW w:w="3301" w:type="pct"/>
            <w:hideMark/>
          </w:tcPr>
          <w:p w:rsidR="00164BE1" w:rsidRPr="00164BE1"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Include</w:t>
            </w:r>
            <w:r w:rsidR="00164BE1" w:rsidRPr="00164BE1">
              <w:rPr>
                <w:rFonts w:asciiTheme="majorHAnsi" w:hAnsiTheme="majorHAnsi" w:cstheme="majorHAnsi"/>
                <w:sz w:val="24"/>
                <w:szCs w:val="24"/>
                <w:lang w:val="en-AU"/>
              </w:rPr>
              <w:t xml:space="preserve"> preferential treatment, privileged access, favours or other advantage offered to an individual. They may include invitations to sporting, cultural or social events, access to discounts and loyalty programs, and promises of a new job.</w:t>
            </w:r>
          </w:p>
          <w:p w:rsidR="00164BE1" w:rsidRPr="00164BE1"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The value of benefits may be difficult to define in dollars, but as they are valued by the individual, they may be used to influence the individual’s behaviour.</w:t>
            </w:r>
          </w:p>
        </w:tc>
      </w:tr>
      <w:tr w:rsidR="00AC2917" w:rsidRPr="00164BE1" w:rsidTr="00B72A2C">
        <w:tc>
          <w:tcPr>
            <w:cnfStyle w:val="001000000000" w:firstRow="0" w:lastRow="0" w:firstColumn="1" w:lastColumn="0" w:oddVBand="0" w:evenVBand="0" w:oddHBand="0" w:evenHBand="0" w:firstRowFirstColumn="0" w:firstRowLastColumn="0" w:lastRowFirstColumn="0" w:lastRowLastColumn="0"/>
            <w:tcW w:w="1699" w:type="pct"/>
          </w:tcPr>
          <w:p w:rsidR="00AC2917" w:rsidRPr="00164BE1" w:rsidRDefault="00AC2917" w:rsidP="00164BE1">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Ceremonial gifts</w:t>
            </w:r>
          </w:p>
        </w:tc>
        <w:tc>
          <w:tcPr>
            <w:tcW w:w="3301" w:type="pct"/>
          </w:tcPr>
          <w:p w:rsidR="00AC2917" w:rsidRPr="00AC2917" w:rsidRDefault="00AC2917" w:rsidP="00AC291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AC2917">
              <w:rPr>
                <w:rFonts w:asciiTheme="majorHAnsi" w:hAnsiTheme="majorHAnsi" w:cstheme="majorHAnsi"/>
                <w:sz w:val="24"/>
                <w:szCs w:val="24"/>
                <w:lang w:val="en-AU"/>
              </w:rPr>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rsidR="00AC2917" w:rsidRPr="00164BE1" w:rsidDel="00AC2917" w:rsidRDefault="00AC2917" w:rsidP="00B72A2C">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AC2917">
              <w:rPr>
                <w:rFonts w:asciiTheme="majorHAnsi" w:hAnsiTheme="majorHAnsi" w:cstheme="majorHAnsi"/>
                <w:sz w:val="24"/>
                <w:szCs w:val="24"/>
                <w:lang w:val="en-AU"/>
              </w:rPr>
              <w:t>Ceremonial gifts are the property of the organisation, irrespective of value, and should be accepted by individuals on behalf of the organisation. The receipt of ceremonial gifts should be recorded on the register but does not need to be published online.</w:t>
            </w:r>
          </w:p>
        </w:tc>
      </w:tr>
      <w:tr w:rsidR="00164BE1" w:rsidRPr="00164BE1" w:rsidTr="00BD77BF">
        <w:trPr>
          <w:cantSplit/>
        </w:trPr>
        <w:tc>
          <w:tcPr>
            <w:cnfStyle w:val="001000000000" w:firstRow="0" w:lastRow="0" w:firstColumn="1" w:lastColumn="0" w:oddVBand="0" w:evenVBand="0" w:oddHBand="0" w:evenHBand="0" w:firstRowFirstColumn="0" w:firstRowLastColumn="0" w:lastRowFirstColumn="0" w:lastRowLastColumn="0"/>
            <w:tcW w:w="1699" w:type="pct"/>
            <w:hideMark/>
          </w:tcPr>
          <w:p w:rsidR="00AC2917" w:rsidRPr="00B72A2C"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Conflicts of interest</w:t>
            </w:r>
          </w:p>
        </w:tc>
        <w:tc>
          <w:tcPr>
            <w:tcW w:w="3301" w:type="pct"/>
          </w:tcPr>
          <w:p w:rsidR="00AC2917"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lang w:val="en-AU"/>
              </w:rPr>
            </w:pPr>
            <w:r w:rsidRPr="00B72A2C">
              <w:rPr>
                <w:rFonts w:asciiTheme="majorHAnsi" w:hAnsiTheme="majorHAnsi" w:cstheme="majorHAnsi"/>
                <w:sz w:val="24"/>
                <w:szCs w:val="24"/>
                <w:lang w:val="en-AU"/>
              </w:rPr>
              <w:t>Conflicts may be:</w:t>
            </w:r>
          </w:p>
          <w:p w:rsidR="00164BE1" w:rsidRDefault="00AC2917" w:rsidP="00AC2917">
            <w:pPr>
              <w:pStyle w:val="BodyText"/>
              <w:spacing w:before="120"/>
              <w:ind w:left="1389" w:hanging="138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i/>
                <w:sz w:val="24"/>
                <w:szCs w:val="24"/>
                <w:lang w:val="en-AU"/>
              </w:rPr>
              <w:t>Actual:</w:t>
            </w:r>
            <w:r w:rsidRPr="00164BE1">
              <w:rPr>
                <w:rFonts w:asciiTheme="majorHAnsi" w:hAnsiTheme="majorHAnsi" w:cstheme="majorHAnsi"/>
                <w:sz w:val="24"/>
                <w:szCs w:val="24"/>
                <w:lang w:val="en-AU"/>
              </w:rPr>
              <w:t xml:space="preserve"> </w:t>
            </w:r>
            <w:r>
              <w:rPr>
                <w:rFonts w:asciiTheme="majorHAnsi" w:hAnsiTheme="majorHAnsi" w:cstheme="majorHAnsi"/>
                <w:sz w:val="24"/>
                <w:szCs w:val="24"/>
                <w:lang w:val="en-AU"/>
              </w:rPr>
              <w:tab/>
            </w:r>
            <w:r w:rsidRPr="00164BE1">
              <w:rPr>
                <w:rFonts w:asciiTheme="majorHAnsi" w:hAnsiTheme="majorHAnsi" w:cstheme="majorHAnsi"/>
                <w:sz w:val="24"/>
                <w:szCs w:val="24"/>
                <w:lang w:val="en-AU"/>
              </w:rPr>
              <w:t>There is a real conflict between an employee’s public duties and private interests.</w:t>
            </w:r>
          </w:p>
          <w:p w:rsidR="00AC2917" w:rsidRDefault="00AC2917" w:rsidP="00AC2917">
            <w:pPr>
              <w:pStyle w:val="BodyText"/>
              <w:spacing w:before="120"/>
              <w:ind w:left="1389" w:hanging="138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i/>
                <w:sz w:val="24"/>
                <w:szCs w:val="24"/>
                <w:lang w:val="en-AU"/>
              </w:rPr>
              <w:t>Potential:</w:t>
            </w:r>
            <w:r w:rsidRPr="00164BE1">
              <w:rPr>
                <w:rFonts w:asciiTheme="majorHAnsi" w:hAnsiTheme="majorHAnsi" w:cstheme="majorHAnsi"/>
                <w:sz w:val="24"/>
                <w:szCs w:val="24"/>
                <w:lang w:val="en-AU"/>
              </w:rPr>
              <w:t xml:space="preserve"> </w:t>
            </w:r>
            <w:r>
              <w:rPr>
                <w:rFonts w:asciiTheme="majorHAnsi" w:hAnsiTheme="majorHAnsi" w:cstheme="majorHAnsi"/>
                <w:sz w:val="24"/>
                <w:szCs w:val="24"/>
                <w:lang w:val="en-AU"/>
              </w:rPr>
              <w:tab/>
              <w:t>A</w:t>
            </w:r>
            <w:r w:rsidRPr="00164BE1">
              <w:rPr>
                <w:rFonts w:asciiTheme="majorHAnsi" w:hAnsiTheme="majorHAnsi" w:cstheme="majorHAnsi"/>
                <w:sz w:val="24"/>
                <w:szCs w:val="24"/>
                <w:lang w:val="en-AU"/>
              </w:rPr>
              <w:t>n employee has private interests that could conflict with their public duties. This refers to circumstances where it is foreseeable that a conflict may arise in future and steps should be taken now to mitigate that future risk.</w:t>
            </w:r>
          </w:p>
          <w:p w:rsidR="00AC2917" w:rsidRPr="00164BE1" w:rsidRDefault="00AC2917" w:rsidP="00B72A2C">
            <w:pPr>
              <w:pStyle w:val="BodyText"/>
              <w:spacing w:before="120"/>
              <w:ind w:left="1389" w:hanging="138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i/>
                <w:sz w:val="24"/>
                <w:szCs w:val="24"/>
                <w:lang w:val="en-AU"/>
              </w:rPr>
              <w:t>Perceived:</w:t>
            </w:r>
            <w:r w:rsidRPr="00164BE1">
              <w:rPr>
                <w:rFonts w:asciiTheme="majorHAnsi" w:hAnsiTheme="majorHAnsi" w:cstheme="majorHAnsi"/>
                <w:sz w:val="24"/>
                <w:szCs w:val="24"/>
                <w:lang w:val="en-AU"/>
              </w:rPr>
              <w:t xml:space="preserve"> </w:t>
            </w:r>
            <w:r>
              <w:rPr>
                <w:rFonts w:asciiTheme="majorHAnsi" w:hAnsiTheme="majorHAnsi" w:cstheme="majorHAnsi"/>
                <w:sz w:val="24"/>
                <w:szCs w:val="24"/>
                <w:lang w:val="en-AU"/>
              </w:rPr>
              <w:tab/>
              <w:t>T</w:t>
            </w:r>
            <w:r w:rsidRPr="00164BE1">
              <w:rPr>
                <w:rFonts w:asciiTheme="majorHAnsi" w:hAnsiTheme="majorHAnsi" w:cstheme="majorHAnsi"/>
                <w:sz w:val="24"/>
                <w:szCs w:val="24"/>
                <w:lang w:val="en-AU"/>
              </w:rPr>
              <w:t>he public or a third party could form the view that an employee’s private interests could improperly influence their decisions or actions, now or in the future.</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Gifts</w:t>
            </w:r>
          </w:p>
        </w:tc>
        <w:tc>
          <w:tcPr>
            <w:tcW w:w="3301" w:type="pct"/>
            <w:hideMark/>
          </w:tcPr>
          <w:p w:rsidR="00164BE1" w:rsidRPr="00164BE1"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Are</w:t>
            </w:r>
            <w:r w:rsidR="00164BE1" w:rsidRPr="00164BE1">
              <w:rPr>
                <w:rFonts w:asciiTheme="majorHAnsi" w:hAnsiTheme="majorHAnsi" w:cstheme="majorHAnsi"/>
                <w:sz w:val="24"/>
                <w:szCs w:val="24"/>
                <w:lang w:val="en-AU"/>
              </w:rPr>
              <w:t xml:space="preserve"> free or discounted items and any item that would generally be seen by the public as a gift. These include items of high value (e.g. artwork, jewellery, or expensive pens), low value (e.g. small bunch of flowers) and consumables (e.g. chocolates). </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Hospitality</w:t>
            </w:r>
          </w:p>
        </w:tc>
        <w:tc>
          <w:tcPr>
            <w:tcW w:w="3301" w:type="pct"/>
            <w:hideMark/>
          </w:tcPr>
          <w:p w:rsidR="00164BE1" w:rsidRPr="00164BE1"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Is</w:t>
            </w:r>
            <w:r w:rsidR="00164BE1" w:rsidRPr="00164BE1">
              <w:rPr>
                <w:rFonts w:asciiTheme="majorHAnsi" w:hAnsiTheme="majorHAnsi" w:cstheme="majorHAnsi"/>
                <w:sz w:val="24"/>
                <w:szCs w:val="24"/>
                <w:lang w:val="en-AU"/>
              </w:rPr>
              <w:t xml:space="preserve"> the friendly reception and entertainment of guests. Hospitality may range from light refreshments at a business meeting to expensive restaurant meals and sponsored travel and accommodation.  </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Legitimate business benefit</w:t>
            </w:r>
          </w:p>
        </w:tc>
        <w:tc>
          <w:tcPr>
            <w:tcW w:w="3301" w:type="pct"/>
            <w:hideMark/>
          </w:tcPr>
          <w:p w:rsidR="00164BE1" w:rsidRPr="00164BE1" w:rsidRDefault="00AC2917" w:rsidP="00B72A2C">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Pr>
                <w:rFonts w:asciiTheme="majorHAnsi" w:hAnsiTheme="majorHAnsi" w:cstheme="majorHAnsi"/>
                <w:sz w:val="24"/>
                <w:szCs w:val="24"/>
                <w:lang w:val="en-AU"/>
              </w:rPr>
              <w:t>A g</w:t>
            </w:r>
            <w:r w:rsidRPr="00164BE1">
              <w:rPr>
                <w:rFonts w:asciiTheme="majorHAnsi" w:hAnsiTheme="majorHAnsi" w:cstheme="majorHAnsi"/>
                <w:sz w:val="24"/>
                <w:szCs w:val="24"/>
                <w:lang w:val="en-AU"/>
              </w:rPr>
              <w:t>ift</w:t>
            </w:r>
            <w:r w:rsidR="00164BE1" w:rsidRPr="00164BE1">
              <w:rPr>
                <w:rFonts w:asciiTheme="majorHAnsi" w:hAnsiTheme="majorHAnsi" w:cstheme="majorHAnsi"/>
                <w:sz w:val="24"/>
                <w:szCs w:val="24"/>
                <w:lang w:val="en-AU"/>
              </w:rPr>
              <w:t>, benefit</w:t>
            </w:r>
            <w:r>
              <w:rPr>
                <w:rFonts w:asciiTheme="majorHAnsi" w:hAnsiTheme="majorHAnsi" w:cstheme="majorHAnsi"/>
                <w:sz w:val="24"/>
                <w:szCs w:val="24"/>
                <w:lang w:val="en-AU"/>
              </w:rPr>
              <w:t xml:space="preserve"> or</w:t>
            </w:r>
            <w:r w:rsidR="00164BE1" w:rsidRPr="00164BE1">
              <w:rPr>
                <w:rFonts w:asciiTheme="majorHAnsi" w:hAnsiTheme="majorHAnsi" w:cstheme="majorHAnsi"/>
                <w:sz w:val="24"/>
                <w:szCs w:val="24"/>
                <w:lang w:val="en-AU"/>
              </w:rPr>
              <w:t xml:space="preserve"> hospitality </w:t>
            </w:r>
            <w:r>
              <w:rPr>
                <w:rFonts w:asciiTheme="majorHAnsi" w:hAnsiTheme="majorHAnsi" w:cstheme="majorHAnsi"/>
                <w:sz w:val="24"/>
                <w:szCs w:val="24"/>
                <w:lang w:val="en-AU"/>
              </w:rPr>
              <w:t xml:space="preserve">may have a legitimate business benefit if </w:t>
            </w:r>
            <w:r w:rsidR="00164BE1" w:rsidRPr="00164BE1">
              <w:rPr>
                <w:rFonts w:asciiTheme="majorHAnsi" w:hAnsiTheme="majorHAnsi" w:cstheme="majorHAnsi"/>
                <w:sz w:val="24"/>
                <w:szCs w:val="24"/>
                <w:lang w:val="en-AU"/>
              </w:rPr>
              <w:t xml:space="preserve">it furthers the conduct of official business or other legitimate goals of the organisation, </w:t>
            </w:r>
            <w:r>
              <w:rPr>
                <w:rFonts w:asciiTheme="majorHAnsi" w:hAnsiTheme="majorHAnsi" w:cstheme="majorHAnsi"/>
                <w:sz w:val="24"/>
                <w:szCs w:val="24"/>
                <w:lang w:val="en-AU"/>
              </w:rPr>
              <w:t xml:space="preserve">the </w:t>
            </w:r>
            <w:r w:rsidR="00164BE1" w:rsidRPr="00164BE1">
              <w:rPr>
                <w:rFonts w:asciiTheme="majorHAnsi" w:hAnsiTheme="majorHAnsi" w:cstheme="majorHAnsi"/>
                <w:sz w:val="24"/>
                <w:szCs w:val="24"/>
                <w:lang w:val="en-AU"/>
              </w:rPr>
              <w:t xml:space="preserve">public sector or </w:t>
            </w:r>
            <w:r>
              <w:rPr>
                <w:rFonts w:asciiTheme="majorHAnsi" w:hAnsiTheme="majorHAnsi" w:cstheme="majorHAnsi"/>
                <w:sz w:val="24"/>
                <w:szCs w:val="24"/>
                <w:lang w:val="en-AU"/>
              </w:rPr>
              <w:t xml:space="preserve">the </w:t>
            </w:r>
            <w:r w:rsidR="00164BE1" w:rsidRPr="00164BE1">
              <w:rPr>
                <w:rFonts w:asciiTheme="majorHAnsi" w:hAnsiTheme="majorHAnsi" w:cstheme="majorHAnsi"/>
                <w:sz w:val="24"/>
                <w:szCs w:val="24"/>
                <w:lang w:val="en-AU"/>
              </w:rPr>
              <w:t>State.</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Public official</w:t>
            </w:r>
          </w:p>
        </w:tc>
        <w:tc>
          <w:tcPr>
            <w:tcW w:w="3301" w:type="pct"/>
            <w:hideMark/>
          </w:tcPr>
          <w:p w:rsidR="00164BE1" w:rsidRPr="00164BE1" w:rsidRDefault="00AC2917" w:rsidP="00B72A2C">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Has</w:t>
            </w:r>
            <w:r w:rsidR="00164BE1" w:rsidRPr="00164BE1">
              <w:rPr>
                <w:rFonts w:asciiTheme="majorHAnsi" w:hAnsiTheme="majorHAnsi" w:cstheme="majorHAnsi"/>
                <w:sz w:val="24"/>
                <w:szCs w:val="24"/>
                <w:lang w:val="en-AU"/>
              </w:rPr>
              <w:t xml:space="preserve"> the same meaning as under section 4 of the </w:t>
            </w:r>
            <w:r w:rsidR="00164BE1" w:rsidRPr="00B72A2C">
              <w:rPr>
                <w:rFonts w:asciiTheme="majorHAnsi" w:hAnsiTheme="majorHAnsi" w:cstheme="majorHAnsi"/>
                <w:i/>
                <w:sz w:val="24"/>
                <w:szCs w:val="24"/>
                <w:lang w:val="en-AU"/>
              </w:rPr>
              <w:t>Public Administration Act 2004</w:t>
            </w:r>
            <w:r w:rsidR="00164BE1" w:rsidRPr="00164BE1">
              <w:rPr>
                <w:rFonts w:asciiTheme="majorHAnsi" w:hAnsiTheme="majorHAnsi" w:cstheme="majorHAnsi"/>
                <w:sz w:val="24"/>
                <w:szCs w:val="24"/>
                <w:lang w:val="en-AU"/>
              </w:rPr>
              <w:t>. This includes</w:t>
            </w:r>
            <w:r>
              <w:rPr>
                <w:rFonts w:asciiTheme="majorHAnsi" w:hAnsiTheme="majorHAnsi" w:cstheme="majorHAnsi"/>
                <w:sz w:val="24"/>
                <w:szCs w:val="24"/>
                <w:lang w:val="en-AU"/>
              </w:rPr>
              <w:t xml:space="preserve"> </w:t>
            </w:r>
            <w:r w:rsidR="00164BE1" w:rsidRPr="00164BE1">
              <w:rPr>
                <w:rFonts w:asciiTheme="majorHAnsi" w:hAnsiTheme="majorHAnsi" w:cstheme="majorHAnsi"/>
                <w:sz w:val="24"/>
                <w:szCs w:val="24"/>
                <w:lang w:val="en-AU"/>
              </w:rPr>
              <w:t>public sector employees</w:t>
            </w:r>
            <w:r>
              <w:rPr>
                <w:rFonts w:asciiTheme="majorHAnsi" w:hAnsiTheme="majorHAnsi" w:cstheme="majorHAnsi"/>
                <w:sz w:val="24"/>
                <w:szCs w:val="24"/>
                <w:lang w:val="en-AU"/>
              </w:rPr>
              <w:t xml:space="preserve">, </w:t>
            </w:r>
            <w:r w:rsidR="00164BE1" w:rsidRPr="00164BE1">
              <w:rPr>
                <w:rFonts w:asciiTheme="majorHAnsi" w:hAnsiTheme="majorHAnsi" w:cstheme="majorHAnsi"/>
                <w:sz w:val="24"/>
                <w:szCs w:val="24"/>
                <w:lang w:val="en-AU"/>
              </w:rPr>
              <w:t>statutory office holders and</w:t>
            </w:r>
            <w:r>
              <w:rPr>
                <w:rFonts w:asciiTheme="majorHAnsi" w:hAnsiTheme="majorHAnsi" w:cstheme="majorHAnsi"/>
                <w:sz w:val="24"/>
                <w:szCs w:val="24"/>
                <w:lang w:val="en-AU"/>
              </w:rPr>
              <w:t xml:space="preserve"> </w:t>
            </w:r>
            <w:r w:rsidR="00164BE1" w:rsidRPr="00164BE1">
              <w:rPr>
                <w:rFonts w:asciiTheme="majorHAnsi" w:hAnsiTheme="majorHAnsi" w:cstheme="majorHAnsi"/>
                <w:sz w:val="24"/>
                <w:szCs w:val="24"/>
                <w:lang w:val="en-AU"/>
              </w:rPr>
              <w:t xml:space="preserve">directors of public entities. </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AC2917" w:rsidP="00164BE1">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 xml:space="preserve">Public </w:t>
            </w:r>
            <w:r w:rsidR="00164BE1" w:rsidRPr="00164BE1">
              <w:rPr>
                <w:rFonts w:asciiTheme="majorHAnsi" w:hAnsiTheme="majorHAnsi" w:cstheme="majorHAnsi"/>
                <w:sz w:val="24"/>
                <w:szCs w:val="24"/>
                <w:lang w:val="en-AU"/>
              </w:rPr>
              <w:t>Register</w:t>
            </w:r>
          </w:p>
        </w:tc>
        <w:tc>
          <w:tcPr>
            <w:tcW w:w="3301" w:type="pct"/>
            <w:hideMark/>
          </w:tcPr>
          <w:p w:rsidR="00AC2917"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Pr>
                <w:rFonts w:asciiTheme="majorHAnsi" w:hAnsiTheme="majorHAnsi" w:cstheme="majorHAnsi"/>
                <w:sz w:val="24"/>
                <w:szCs w:val="24"/>
                <w:lang w:val="en-AU"/>
              </w:rPr>
              <w:t xml:space="preserve">A public register </w:t>
            </w:r>
            <w:r w:rsidR="00164BE1" w:rsidRPr="00164BE1">
              <w:rPr>
                <w:rFonts w:asciiTheme="majorHAnsi" w:hAnsiTheme="majorHAnsi" w:cstheme="majorHAnsi"/>
                <w:sz w:val="24"/>
                <w:szCs w:val="24"/>
                <w:lang w:val="en-AU"/>
              </w:rPr>
              <w:t xml:space="preserve">is an electronic record, of all declarable gifts, benefits and hospitality. </w:t>
            </w:r>
          </w:p>
          <w:p w:rsidR="00AC2917"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It records the date an offer was made and by whom, the nature of the offer, its estimated value, the raising of any actual, potential or perceived conflicts of interest or reputational risks and how the offer was managed. </w:t>
            </w:r>
          </w:p>
          <w:p w:rsidR="00AC2917"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For accepted offers, it details the business reason for acceptance and the officer approving the acceptance. </w:t>
            </w:r>
          </w:p>
          <w:p w:rsidR="00164BE1" w:rsidRPr="00164BE1"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 copy of the register for the current and previous year will be published on the Gippsland Water website with the names of the gift donor and recipient de-identified. </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Token offer</w:t>
            </w:r>
          </w:p>
        </w:tc>
        <w:tc>
          <w:tcPr>
            <w:tcW w:w="3301" w:type="pct"/>
            <w:hideMark/>
          </w:tcPr>
          <w:p w:rsidR="00164BE1" w:rsidRPr="00164BE1" w:rsidRDefault="00AC2917"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Is</w:t>
            </w:r>
            <w:r w:rsidR="00164BE1" w:rsidRPr="00164BE1">
              <w:rPr>
                <w:rFonts w:asciiTheme="majorHAnsi" w:hAnsiTheme="majorHAnsi" w:cstheme="majorHAnsi"/>
                <w:sz w:val="24"/>
                <w:szCs w:val="24"/>
                <w:lang w:val="en-AU"/>
              </w:rPr>
              <w:t xml:space="preserve"> an offer of a gift, benefit or hospitality that is of inconsequential or trivial value to both the person making the offer and the </w:t>
            </w:r>
            <w:r w:rsidR="00D62035">
              <w:rPr>
                <w:rFonts w:asciiTheme="majorHAnsi" w:hAnsiTheme="majorHAnsi" w:cstheme="majorHAnsi"/>
                <w:sz w:val="24"/>
                <w:szCs w:val="24"/>
                <w:lang w:val="en-AU"/>
              </w:rPr>
              <w:t>recipient (such as basic courtesy)</w:t>
            </w:r>
            <w:r w:rsidR="00164BE1" w:rsidRPr="00164BE1">
              <w:rPr>
                <w:rFonts w:asciiTheme="majorHAnsi" w:hAnsiTheme="majorHAnsi" w:cstheme="majorHAnsi"/>
                <w:sz w:val="24"/>
                <w:szCs w:val="24"/>
                <w:lang w:val="en-AU"/>
              </w:rPr>
              <w:t xml:space="preserve">. </w:t>
            </w:r>
          </w:p>
          <w:p w:rsidR="00164BE1" w:rsidRPr="00164BE1"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Whilst the primary determinant of a token offer is that it would not be reasonably perceived within or outside the organisation as influencing an individual or raising an actual, potential or perceived conflict of interest, it cannot be worth more than $50 (including cumulative offers from the same source over a 12 month period). </w:t>
            </w:r>
          </w:p>
        </w:tc>
      </w:tr>
      <w:tr w:rsidR="00164BE1" w:rsidRPr="00164BE1" w:rsidTr="00B72A2C">
        <w:tc>
          <w:tcPr>
            <w:cnfStyle w:val="001000000000" w:firstRow="0" w:lastRow="0" w:firstColumn="1" w:lastColumn="0" w:oddVBand="0" w:evenVBand="0" w:oddHBand="0" w:evenHBand="0" w:firstRowFirstColumn="0" w:firstRowLastColumn="0" w:lastRowFirstColumn="0" w:lastRowLastColumn="0"/>
            <w:tcW w:w="1699" w:type="pct"/>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Non-token offer</w:t>
            </w:r>
          </w:p>
        </w:tc>
        <w:tc>
          <w:tcPr>
            <w:tcW w:w="3301" w:type="pct"/>
            <w:hideMark/>
          </w:tcPr>
          <w:p w:rsidR="00D62035" w:rsidRDefault="00D62035"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Is</w:t>
            </w:r>
            <w:r w:rsidR="00164BE1" w:rsidRPr="00164BE1">
              <w:rPr>
                <w:rFonts w:asciiTheme="majorHAnsi" w:hAnsiTheme="majorHAnsi" w:cstheme="majorHAnsi"/>
                <w:sz w:val="24"/>
                <w:szCs w:val="24"/>
                <w:lang w:val="en-AU"/>
              </w:rPr>
              <w:t xml:space="preserve"> an offer of a gift, benefit or hospitality that is, or may be perceived to be by the recipient, the person making the offer or by the wider community, of more than inconsequential value. </w:t>
            </w:r>
          </w:p>
          <w:p w:rsidR="00164BE1" w:rsidRPr="00164BE1" w:rsidRDefault="00164BE1" w:rsidP="00164BE1">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All offers worth more than $50 are non-token offers and must be recorded on a gift, benefit and hospitality register. </w:t>
            </w:r>
          </w:p>
        </w:tc>
      </w:tr>
      <w:tr w:rsidR="003C7551" w:rsidRPr="00164BE1" w:rsidTr="00B72A2C">
        <w:tc>
          <w:tcPr>
            <w:cnfStyle w:val="001000000000" w:firstRow="0" w:lastRow="0" w:firstColumn="1" w:lastColumn="0" w:oddVBand="0" w:evenVBand="0" w:oddHBand="0" w:evenHBand="0" w:firstRowFirstColumn="0" w:firstRowLastColumn="0" w:lastRowFirstColumn="0" w:lastRowLastColumn="0"/>
            <w:tcW w:w="1699" w:type="pct"/>
          </w:tcPr>
          <w:p w:rsidR="003C7551" w:rsidRPr="00164BE1" w:rsidRDefault="003C7551" w:rsidP="00164BE1">
            <w:pPr>
              <w:pStyle w:val="BodyText"/>
              <w:spacing w:before="120"/>
              <w:rPr>
                <w:rFonts w:asciiTheme="majorHAnsi" w:hAnsiTheme="majorHAnsi" w:cstheme="majorHAnsi"/>
                <w:sz w:val="24"/>
                <w:szCs w:val="24"/>
                <w:lang w:val="en-AU"/>
              </w:rPr>
            </w:pPr>
            <w:r w:rsidRPr="000972FA">
              <w:rPr>
                <w:rFonts w:asciiTheme="majorHAnsi" w:hAnsiTheme="majorHAnsi" w:cstheme="majorHAnsi"/>
                <w:sz w:val="24"/>
                <w:szCs w:val="24"/>
                <w:lang w:val="en-AU"/>
              </w:rPr>
              <w:t>Victorian public sector organisations</w:t>
            </w:r>
          </w:p>
        </w:tc>
        <w:tc>
          <w:tcPr>
            <w:tcW w:w="3301" w:type="pct"/>
          </w:tcPr>
          <w:p w:rsidR="003C7551" w:rsidRPr="00164BE1" w:rsidDel="00D62035" w:rsidRDefault="00743428" w:rsidP="00743428">
            <w:pPr>
              <w:pStyle w:val="BodyTex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AU"/>
              </w:rPr>
            </w:pPr>
            <w:r>
              <w:rPr>
                <w:rFonts w:asciiTheme="majorHAnsi" w:hAnsiTheme="majorHAnsi" w:cstheme="majorHAnsi"/>
                <w:sz w:val="24"/>
                <w:szCs w:val="24"/>
                <w:lang w:val="en-AU"/>
              </w:rPr>
              <w:t xml:space="preserve">State government departments, administrative offices, Victorian Public Sector Commission, special bodies and public entity organisations as defined within the </w:t>
            </w:r>
            <w:r w:rsidRPr="00743428">
              <w:rPr>
                <w:rFonts w:asciiTheme="majorHAnsi" w:hAnsiTheme="majorHAnsi" w:cstheme="majorHAnsi"/>
                <w:i/>
                <w:sz w:val="24"/>
                <w:szCs w:val="24"/>
                <w:lang w:val="en-AU"/>
              </w:rPr>
              <w:t>Public Administration Act 2004</w:t>
            </w:r>
            <w:r>
              <w:rPr>
                <w:rFonts w:asciiTheme="majorHAnsi" w:hAnsiTheme="majorHAnsi" w:cstheme="majorHAnsi"/>
                <w:sz w:val="24"/>
                <w:szCs w:val="24"/>
                <w:lang w:val="en-AU"/>
              </w:rPr>
              <w:t xml:space="preserve">. </w:t>
            </w:r>
          </w:p>
        </w:tc>
      </w:tr>
    </w:tbl>
    <w:p w:rsidR="00164BE1" w:rsidRPr="00B72A2C" w:rsidRDefault="00164BE1" w:rsidP="00164BE1">
      <w:pPr>
        <w:pStyle w:val="Heading2"/>
        <w:ind w:left="284" w:hanging="284"/>
        <w:rPr>
          <w:sz w:val="24"/>
        </w:rPr>
      </w:pPr>
      <w:r w:rsidRPr="00B72A2C">
        <w:rPr>
          <w:sz w:val="24"/>
        </w:rPr>
        <w:t>Management of offers of gifts, benefits and hospitality</w:t>
      </w:r>
    </w:p>
    <w:p w:rsid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This section sets out the process for accepting, declining and recording offers of gifts, benefits and hospitality. Any exceptions to this process must have the prior written approval of the Managing Director. </w:t>
      </w:r>
    </w:p>
    <w:p w:rsidR="00B72A2C" w:rsidRDefault="00B72A2C" w:rsidP="009946D0">
      <w:pPr>
        <w:pStyle w:val="Heading3"/>
        <w:rPr>
          <w:sz w:val="24"/>
        </w:rPr>
      </w:pPr>
      <w:r>
        <w:rPr>
          <w:sz w:val="24"/>
        </w:rPr>
        <w:t>Conflict of Interest and Reputational Risks</w:t>
      </w:r>
    </w:p>
    <w:p w:rsidR="00B72A2C" w:rsidRDefault="00B72A2C" w:rsidP="00B72A2C">
      <w:pPr>
        <w:pStyle w:val="BodyText"/>
        <w:spacing w:before="120"/>
        <w:rPr>
          <w:rFonts w:asciiTheme="majorHAnsi" w:hAnsiTheme="majorHAnsi" w:cstheme="majorHAnsi"/>
          <w:sz w:val="24"/>
          <w:szCs w:val="24"/>
          <w:lang w:val="en-AU"/>
        </w:rPr>
      </w:pPr>
      <w:r w:rsidRPr="009946D0">
        <w:rPr>
          <w:rFonts w:asciiTheme="majorHAnsi" w:hAnsiTheme="majorHAnsi" w:cstheme="majorHAnsi"/>
          <w:sz w:val="24"/>
          <w:szCs w:val="24"/>
          <w:lang w:val="en-AU"/>
        </w:rPr>
        <w:t xml:space="preserve">When </w:t>
      </w:r>
      <w:r>
        <w:rPr>
          <w:rFonts w:asciiTheme="majorHAnsi" w:hAnsiTheme="majorHAnsi" w:cstheme="majorHAnsi"/>
          <w:sz w:val="24"/>
          <w:szCs w:val="24"/>
          <w:lang w:val="en-AU"/>
        </w:rPr>
        <w:t>deciding whether to accept an offer, individuals should first consider if the offer could be perceived as influencing them in performing their duties or lead to reputational damage. The more valuable the offer, the more likely that a conflict of interest or reputational risk exists.</w:t>
      </w:r>
    </w:p>
    <w:p w:rsidR="00B72A2C" w:rsidRDefault="00B72A2C" w:rsidP="00B72A2C">
      <w:pPr>
        <w:pStyle w:val="StyleHeading1ArialNarrow12pt"/>
        <w:tabs>
          <w:tab w:val="clear" w:pos="432"/>
        </w:tabs>
        <w:spacing w:before="120"/>
        <w:ind w:left="0" w:firstLine="0"/>
        <w:rPr>
          <w:rFonts w:asciiTheme="majorHAnsi" w:hAnsiTheme="majorHAnsi" w:cstheme="majorHAnsi"/>
          <w:caps w:val="0"/>
          <w:sz w:val="24"/>
          <w:szCs w:val="24"/>
          <w:lang w:val="en-AU"/>
        </w:rPr>
      </w:pPr>
      <w:r>
        <w:rPr>
          <w:rFonts w:asciiTheme="majorHAnsi" w:hAnsiTheme="majorHAnsi" w:cstheme="majorHAnsi"/>
          <w:caps w:val="0"/>
          <w:sz w:val="24"/>
          <w:szCs w:val="24"/>
          <w:lang w:val="en-AU"/>
        </w:rPr>
        <w:t>Figure</w:t>
      </w:r>
      <w:r w:rsidRPr="00164BE1">
        <w:rPr>
          <w:rFonts w:asciiTheme="majorHAnsi" w:hAnsiTheme="majorHAnsi" w:cstheme="majorHAnsi"/>
          <w:caps w:val="0"/>
          <w:sz w:val="24"/>
          <w:szCs w:val="24"/>
          <w:lang w:val="en-AU"/>
        </w:rPr>
        <w:t>1: Gift Test</w:t>
      </w:r>
    </w:p>
    <w:p w:rsidR="00B72A2C" w:rsidRDefault="00B72A2C" w:rsidP="00B72A2C">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 xml:space="preserve">This table is a useful tool when considering how to respond to a gift offer. </w:t>
      </w:r>
    </w:p>
    <w:tbl>
      <w:tblPr>
        <w:tblStyle w:val="TableGrid"/>
        <w:tblW w:w="5000" w:type="pct"/>
        <w:tblLook w:val="04A0" w:firstRow="1" w:lastRow="0" w:firstColumn="1" w:lastColumn="0" w:noHBand="0" w:noVBand="1"/>
      </w:tblPr>
      <w:tblGrid>
        <w:gridCol w:w="471"/>
        <w:gridCol w:w="1652"/>
        <w:gridCol w:w="8072"/>
      </w:tblGrid>
      <w:tr w:rsidR="00B72A2C" w:rsidRPr="00164BE1" w:rsidTr="000C72F1">
        <w:tc>
          <w:tcPr>
            <w:tcW w:w="231"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G</w:t>
            </w:r>
          </w:p>
        </w:tc>
        <w:tc>
          <w:tcPr>
            <w:tcW w:w="810"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Giver</w:t>
            </w:r>
          </w:p>
        </w:tc>
        <w:tc>
          <w:tcPr>
            <w:tcW w:w="3959" w:type="pct"/>
            <w:tcBorders>
              <w:top w:val="single" w:sz="4" w:space="0" w:color="auto"/>
              <w:left w:val="single" w:sz="4" w:space="0" w:color="auto"/>
              <w:bottom w:val="single" w:sz="4" w:space="0" w:color="auto"/>
              <w:right w:val="single" w:sz="4" w:space="0" w:color="auto"/>
            </w:tcBorders>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 xml:space="preserve">Who is </w:t>
            </w:r>
            <w:r>
              <w:rPr>
                <w:rFonts w:asciiTheme="majorHAnsi" w:hAnsiTheme="majorHAnsi" w:cstheme="majorHAnsi"/>
                <w:b/>
                <w:sz w:val="24"/>
                <w:szCs w:val="24"/>
                <w:lang w:val="en-AU"/>
              </w:rPr>
              <w:t>offering</w:t>
            </w:r>
            <w:r w:rsidRPr="00164BE1">
              <w:rPr>
                <w:rFonts w:asciiTheme="majorHAnsi" w:hAnsiTheme="majorHAnsi" w:cstheme="majorHAnsi"/>
                <w:b/>
                <w:sz w:val="24"/>
                <w:szCs w:val="24"/>
                <w:lang w:val="en-AU"/>
              </w:rPr>
              <w:t xml:space="preserve"> the gift, benefit or hospitality and what is their relationship to me?</w:t>
            </w:r>
          </w:p>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Does my role require me to select contractors, award grants, make decisions regarding enforcement, licensing, leasing of land or regulation, undertake a recruitment exercise or determine policies? Could the person or organisation benefit from a decision I make?</w:t>
            </w:r>
          </w:p>
        </w:tc>
      </w:tr>
      <w:tr w:rsidR="00B72A2C" w:rsidRPr="00164BE1" w:rsidTr="000C72F1">
        <w:tc>
          <w:tcPr>
            <w:tcW w:w="231"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I</w:t>
            </w:r>
          </w:p>
        </w:tc>
        <w:tc>
          <w:tcPr>
            <w:tcW w:w="810"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Influence</w:t>
            </w:r>
          </w:p>
        </w:tc>
        <w:tc>
          <w:tcPr>
            <w:tcW w:w="3959" w:type="pct"/>
            <w:tcBorders>
              <w:top w:val="single" w:sz="4" w:space="0" w:color="auto"/>
              <w:left w:val="single" w:sz="4" w:space="0" w:color="auto"/>
              <w:bottom w:val="single" w:sz="4" w:space="0" w:color="auto"/>
              <w:right w:val="single" w:sz="4" w:space="0" w:color="auto"/>
            </w:tcBorders>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Are they seeking to gain an advantage or influence my decisions or actions?</w:t>
            </w:r>
          </w:p>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Has the gift, benefit or hospitality been offered to me publicly or privately? Is it a courtesy or a token of appreciation or valuable non-token offer? Does its timing coincide with a decision I am about to make or endorse a product or service?</w:t>
            </w:r>
          </w:p>
        </w:tc>
      </w:tr>
      <w:tr w:rsidR="00B72A2C" w:rsidRPr="00164BE1" w:rsidTr="000C72F1">
        <w:tc>
          <w:tcPr>
            <w:tcW w:w="231"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F</w:t>
            </w:r>
          </w:p>
        </w:tc>
        <w:tc>
          <w:tcPr>
            <w:tcW w:w="810"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Favour</w:t>
            </w:r>
          </w:p>
        </w:tc>
        <w:tc>
          <w:tcPr>
            <w:tcW w:w="3959" w:type="pct"/>
            <w:tcBorders>
              <w:top w:val="single" w:sz="4" w:space="0" w:color="auto"/>
              <w:left w:val="single" w:sz="4" w:space="0" w:color="auto"/>
              <w:bottom w:val="single" w:sz="4" w:space="0" w:color="auto"/>
              <w:right w:val="single" w:sz="4" w:space="0" w:color="auto"/>
            </w:tcBorders>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Are they seeking a favour in return for the gift, benefit or hospitality?</w:t>
            </w:r>
          </w:p>
          <w:p w:rsidR="00B72A2C" w:rsidRPr="00164BE1" w:rsidRDefault="00B72A2C" w:rsidP="000972FA">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Has the gift, benefit or hospitality been offered honestly? Has the person or organisation made several offers over the last 12 months?</w:t>
            </w:r>
            <w:r>
              <w:rPr>
                <w:rFonts w:asciiTheme="majorHAnsi" w:hAnsiTheme="majorHAnsi" w:cstheme="majorHAnsi"/>
                <w:sz w:val="24"/>
                <w:szCs w:val="24"/>
                <w:lang w:val="en-AU"/>
              </w:rPr>
              <w:t xml:space="preserve"> </w:t>
            </w:r>
            <w:r w:rsidRPr="00164BE1">
              <w:rPr>
                <w:rFonts w:asciiTheme="majorHAnsi" w:hAnsiTheme="majorHAnsi" w:cstheme="majorHAnsi"/>
                <w:sz w:val="24"/>
                <w:szCs w:val="24"/>
                <w:lang w:val="en-AU"/>
              </w:rPr>
              <w:t>Would accepting it create an obligation to return a favour?</w:t>
            </w:r>
          </w:p>
        </w:tc>
      </w:tr>
      <w:tr w:rsidR="00B72A2C" w:rsidRPr="00164BE1" w:rsidTr="000C72F1">
        <w:tc>
          <w:tcPr>
            <w:tcW w:w="231"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T</w:t>
            </w:r>
          </w:p>
        </w:tc>
        <w:tc>
          <w:tcPr>
            <w:tcW w:w="810"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Trust</w:t>
            </w:r>
          </w:p>
        </w:tc>
        <w:tc>
          <w:tcPr>
            <w:tcW w:w="3959" w:type="pct"/>
            <w:tcBorders>
              <w:top w:val="single" w:sz="4" w:space="0" w:color="auto"/>
              <w:left w:val="single" w:sz="4" w:space="0" w:color="auto"/>
              <w:bottom w:val="single" w:sz="4" w:space="0" w:color="auto"/>
              <w:right w:val="single" w:sz="4" w:space="0" w:color="auto"/>
            </w:tcBorders>
            <w:hideMark/>
          </w:tcPr>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b/>
                <w:sz w:val="24"/>
                <w:szCs w:val="24"/>
                <w:lang w:val="en-AU"/>
              </w:rPr>
              <w:t>Would accepting the gift, benefit or hospitality diminish public trust?</w:t>
            </w:r>
          </w:p>
          <w:p w:rsidR="00B72A2C" w:rsidRPr="00164BE1" w:rsidRDefault="00B72A2C" w:rsidP="000C72F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How would the public view acceptance of this gift, benefit or hospitality? What would my colleagues, family, friends or associates think?</w:t>
            </w:r>
          </w:p>
        </w:tc>
      </w:tr>
    </w:tbl>
    <w:p w:rsidR="00164BE1" w:rsidRPr="009946D0" w:rsidRDefault="00164BE1" w:rsidP="00164BE1">
      <w:pPr>
        <w:pStyle w:val="Heading3"/>
        <w:rPr>
          <w:sz w:val="24"/>
        </w:rPr>
      </w:pPr>
      <w:r w:rsidRPr="009946D0">
        <w:rPr>
          <w:sz w:val="24"/>
        </w:rPr>
        <w:t>Requirement for refusing offers</w:t>
      </w:r>
    </w:p>
    <w:p w:rsidR="00164BE1" w:rsidRPr="00CC4152" w:rsidRDefault="00164BE1" w:rsidP="00164BE1">
      <w:pPr>
        <w:pStyle w:val="BodyText"/>
        <w:spacing w:before="120"/>
        <w:rPr>
          <w:rFonts w:asciiTheme="majorHAnsi" w:hAnsiTheme="majorHAnsi" w:cstheme="majorHAnsi"/>
          <w:sz w:val="24"/>
          <w:szCs w:val="24"/>
          <w:lang w:val="en-AU"/>
        </w:rPr>
      </w:pPr>
      <w:r w:rsidRPr="00CC4152">
        <w:rPr>
          <w:rFonts w:asciiTheme="majorHAnsi" w:hAnsiTheme="majorHAnsi" w:cstheme="majorHAnsi"/>
          <w:sz w:val="24"/>
          <w:szCs w:val="24"/>
          <w:lang w:val="en-AU"/>
        </w:rPr>
        <w:t xml:space="preserve">Individuals should consider the </w:t>
      </w:r>
      <w:r w:rsidRPr="009946D0">
        <w:rPr>
          <w:rFonts w:asciiTheme="majorHAnsi" w:hAnsiTheme="majorHAnsi" w:cstheme="majorHAnsi"/>
          <w:sz w:val="24"/>
          <w:szCs w:val="24"/>
          <w:lang w:val="en-AU"/>
        </w:rPr>
        <w:t>GIFT</w:t>
      </w:r>
      <w:r w:rsidRPr="00CC4152">
        <w:rPr>
          <w:rFonts w:asciiTheme="majorHAnsi" w:hAnsiTheme="majorHAnsi" w:cstheme="majorHAnsi"/>
          <w:sz w:val="24"/>
          <w:szCs w:val="24"/>
          <w:lang w:val="en-AU"/>
        </w:rPr>
        <w:t xml:space="preserve"> test at </w:t>
      </w:r>
      <w:r w:rsidR="00471A57">
        <w:rPr>
          <w:rFonts w:asciiTheme="majorHAnsi" w:hAnsiTheme="majorHAnsi" w:cstheme="majorHAnsi"/>
          <w:sz w:val="24"/>
          <w:szCs w:val="24"/>
          <w:lang w:val="en-AU"/>
        </w:rPr>
        <w:t>Figure</w:t>
      </w:r>
      <w:r w:rsidR="00471A57" w:rsidRPr="009946D0">
        <w:rPr>
          <w:rFonts w:asciiTheme="majorHAnsi" w:hAnsiTheme="majorHAnsi" w:cstheme="majorHAnsi"/>
          <w:sz w:val="24"/>
          <w:szCs w:val="24"/>
          <w:lang w:val="en-AU"/>
        </w:rPr>
        <w:t xml:space="preserve"> </w:t>
      </w:r>
      <w:r w:rsidRPr="009946D0">
        <w:rPr>
          <w:rFonts w:asciiTheme="majorHAnsi" w:hAnsiTheme="majorHAnsi" w:cstheme="majorHAnsi"/>
          <w:sz w:val="24"/>
          <w:szCs w:val="24"/>
          <w:lang w:val="en-AU"/>
        </w:rPr>
        <w:t>1</w:t>
      </w:r>
      <w:r w:rsidRPr="00CC4152">
        <w:rPr>
          <w:rFonts w:asciiTheme="majorHAnsi" w:hAnsiTheme="majorHAnsi" w:cstheme="majorHAnsi"/>
          <w:sz w:val="24"/>
          <w:szCs w:val="24"/>
          <w:lang w:val="en-AU"/>
        </w:rPr>
        <w:t xml:space="preserve"> and the requirements below to help </w:t>
      </w:r>
      <w:r w:rsidR="00471A57">
        <w:rPr>
          <w:rFonts w:asciiTheme="majorHAnsi" w:hAnsiTheme="majorHAnsi" w:cstheme="majorHAnsi"/>
          <w:sz w:val="24"/>
          <w:szCs w:val="24"/>
          <w:lang w:val="en-AU"/>
        </w:rPr>
        <w:t xml:space="preserve">decide whether to refuse an offer.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Individuals are to refuse offers:</w:t>
      </w:r>
    </w:p>
    <w:p w:rsidR="00164BE1" w:rsidRPr="00164BE1" w:rsidRDefault="00164BE1" w:rsidP="00164BE1">
      <w:pPr>
        <w:pStyle w:val="BodyText"/>
        <w:numPr>
          <w:ilvl w:val="0"/>
          <w:numId w:val="7"/>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likely to influence them, or be perceived to influence them, in the course of their duties or raise an actual, potential or perceived conflict of interest;</w:t>
      </w:r>
    </w:p>
    <w:p w:rsidR="00471A57" w:rsidRPr="009946D0" w:rsidRDefault="00471A57" w:rsidP="00164BE1">
      <w:pPr>
        <w:pStyle w:val="BodyText"/>
        <w:numPr>
          <w:ilvl w:val="0"/>
          <w:numId w:val="7"/>
        </w:numPr>
        <w:spacing w:before="120"/>
        <w:rPr>
          <w:rFonts w:asciiTheme="majorHAnsi" w:hAnsiTheme="majorHAnsi" w:cstheme="majorHAnsi"/>
          <w:sz w:val="24"/>
          <w:szCs w:val="24"/>
          <w:lang w:val="en-AU"/>
        </w:rPr>
      </w:pPr>
      <w:r>
        <w:rPr>
          <w:rFonts w:asciiTheme="majorHAnsi" w:hAnsiTheme="majorHAnsi" w:cstheme="majorHAnsi"/>
          <w:sz w:val="24"/>
          <w:szCs w:val="24"/>
        </w:rPr>
        <w:t>could bring them, Gippsland Water or the public sector into disrepute;</w:t>
      </w:r>
    </w:p>
    <w:p w:rsidR="00164BE1" w:rsidRPr="002F5A11" w:rsidRDefault="00471A57" w:rsidP="00164BE1">
      <w:pPr>
        <w:pStyle w:val="BodyText"/>
        <w:numPr>
          <w:ilvl w:val="0"/>
          <w:numId w:val="7"/>
        </w:numPr>
        <w:spacing w:before="120"/>
        <w:rPr>
          <w:rFonts w:asciiTheme="majorHAnsi" w:hAnsiTheme="majorHAnsi" w:cstheme="majorHAnsi"/>
          <w:sz w:val="24"/>
          <w:szCs w:val="24"/>
          <w:lang w:val="en-AU"/>
        </w:rPr>
      </w:pPr>
      <w:r w:rsidRPr="002F5A11">
        <w:rPr>
          <w:rFonts w:asciiTheme="majorHAnsi" w:hAnsiTheme="majorHAnsi" w:cstheme="majorHAnsi"/>
          <w:sz w:val="24"/>
          <w:szCs w:val="24"/>
        </w:rPr>
        <w:t xml:space="preserve">made </w:t>
      </w:r>
      <w:r w:rsidR="00164BE1" w:rsidRPr="002F5A11">
        <w:rPr>
          <w:rFonts w:asciiTheme="majorHAnsi" w:hAnsiTheme="majorHAnsi" w:cstheme="majorHAnsi"/>
          <w:sz w:val="24"/>
          <w:szCs w:val="24"/>
        </w:rPr>
        <w:t>by a person or organisation about which they will likely make</w:t>
      </w:r>
      <w:r w:rsidRPr="002F5A11">
        <w:rPr>
          <w:rFonts w:asciiTheme="majorHAnsi" w:hAnsiTheme="majorHAnsi" w:cstheme="majorHAnsi"/>
          <w:sz w:val="24"/>
          <w:szCs w:val="24"/>
        </w:rPr>
        <w:t xml:space="preserve"> or influence</w:t>
      </w:r>
      <w:r w:rsidR="00164BE1" w:rsidRPr="002F5A11">
        <w:rPr>
          <w:rFonts w:asciiTheme="majorHAnsi" w:hAnsiTheme="majorHAnsi" w:cstheme="majorHAnsi"/>
          <w:sz w:val="24"/>
          <w:szCs w:val="24"/>
        </w:rPr>
        <w:t xml:space="preserve"> a decision (</w:t>
      </w:r>
      <w:r w:rsidRPr="002F5A11">
        <w:rPr>
          <w:rFonts w:asciiTheme="majorHAnsi" w:hAnsiTheme="majorHAnsi" w:cstheme="majorHAnsi"/>
          <w:sz w:val="24"/>
          <w:szCs w:val="24"/>
        </w:rPr>
        <w:t xml:space="preserve">this </w:t>
      </w:r>
      <w:r w:rsidR="00164BE1" w:rsidRPr="002F5A11">
        <w:rPr>
          <w:rFonts w:asciiTheme="majorHAnsi" w:hAnsiTheme="majorHAnsi" w:cstheme="majorHAnsi"/>
          <w:sz w:val="24"/>
          <w:szCs w:val="24"/>
        </w:rPr>
        <w:t>also applies to processes involving grants, sponsorship, regulation, enforcement or licensing)</w:t>
      </w:r>
      <w:r w:rsidRPr="002F5A11">
        <w:rPr>
          <w:rFonts w:asciiTheme="majorHAnsi" w:hAnsiTheme="majorHAnsi" w:cstheme="majorHAnsi"/>
          <w:sz w:val="24"/>
          <w:szCs w:val="24"/>
        </w:rPr>
        <w:t>, particularly offers:</w:t>
      </w:r>
    </w:p>
    <w:p w:rsidR="00471A57" w:rsidRPr="002F5A11" w:rsidRDefault="00471A57" w:rsidP="002F5A11">
      <w:pPr>
        <w:pStyle w:val="BodyText"/>
        <w:numPr>
          <w:ilvl w:val="1"/>
          <w:numId w:val="7"/>
        </w:numPr>
        <w:spacing w:before="120"/>
        <w:ind w:left="709"/>
        <w:rPr>
          <w:rFonts w:asciiTheme="majorHAnsi" w:hAnsiTheme="majorHAnsi" w:cstheme="majorHAnsi"/>
          <w:sz w:val="24"/>
          <w:szCs w:val="24"/>
          <w:lang w:val="en-AU"/>
        </w:rPr>
      </w:pPr>
      <w:r w:rsidRPr="002F5A11">
        <w:rPr>
          <w:rFonts w:asciiTheme="majorHAnsi" w:hAnsiTheme="majorHAnsi" w:cstheme="majorHAnsi"/>
          <w:sz w:val="24"/>
          <w:szCs w:val="24"/>
        </w:rPr>
        <w:t>made by a current or prospective supplier;</w:t>
      </w:r>
      <w:r w:rsidR="00402B42">
        <w:rPr>
          <w:rFonts w:asciiTheme="majorHAnsi" w:hAnsiTheme="majorHAnsi" w:cstheme="majorHAnsi"/>
          <w:sz w:val="24"/>
          <w:szCs w:val="24"/>
        </w:rPr>
        <w:t xml:space="preserve"> or</w:t>
      </w:r>
    </w:p>
    <w:p w:rsidR="00471A57" w:rsidRPr="002F5A11" w:rsidRDefault="00471A57" w:rsidP="002F5A11">
      <w:pPr>
        <w:pStyle w:val="BodyText"/>
        <w:numPr>
          <w:ilvl w:val="1"/>
          <w:numId w:val="7"/>
        </w:numPr>
        <w:spacing w:before="120"/>
        <w:ind w:left="709"/>
        <w:rPr>
          <w:rFonts w:asciiTheme="majorHAnsi" w:hAnsiTheme="majorHAnsi" w:cstheme="majorHAnsi"/>
          <w:sz w:val="24"/>
          <w:szCs w:val="24"/>
          <w:lang w:val="en-AU"/>
        </w:rPr>
      </w:pPr>
      <w:r w:rsidRPr="002F5A11">
        <w:rPr>
          <w:rFonts w:asciiTheme="majorHAnsi" w:hAnsiTheme="majorHAnsi" w:cstheme="majorHAnsi"/>
          <w:sz w:val="24"/>
          <w:szCs w:val="24"/>
          <w:lang w:val="en-AU"/>
        </w:rPr>
        <w:t>made during a procurement or tender process by a person or organisation involved in the process</w:t>
      </w:r>
      <w:r w:rsidR="00CC4152" w:rsidRPr="002F5A11">
        <w:rPr>
          <w:rFonts w:asciiTheme="majorHAnsi" w:hAnsiTheme="majorHAnsi" w:cstheme="majorHAnsi"/>
          <w:sz w:val="24"/>
          <w:szCs w:val="24"/>
          <w:lang w:val="en-AU"/>
        </w:rPr>
        <w:t xml:space="preserve"> (for tenders, the reporting period begins three months prior to advertisement and extends to three months following award of the contract)</w:t>
      </w:r>
      <w:r w:rsidRPr="002F5A11">
        <w:rPr>
          <w:rFonts w:asciiTheme="majorHAnsi" w:hAnsiTheme="majorHAnsi" w:cstheme="majorHAnsi"/>
          <w:sz w:val="24"/>
          <w:szCs w:val="24"/>
          <w:lang w:val="en-AU"/>
        </w:rPr>
        <w:t xml:space="preserve"> </w:t>
      </w:r>
    </w:p>
    <w:p w:rsidR="00164BE1" w:rsidRPr="00164BE1" w:rsidRDefault="00164BE1" w:rsidP="00164BE1">
      <w:pPr>
        <w:pStyle w:val="BodyText"/>
        <w:numPr>
          <w:ilvl w:val="0"/>
          <w:numId w:val="7"/>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likely to be a bribe or inducement to make a decision or act in a particular way; </w:t>
      </w:r>
    </w:p>
    <w:p w:rsidR="00164BE1" w:rsidRPr="00164BE1" w:rsidRDefault="00164BE1" w:rsidP="00164BE1">
      <w:pPr>
        <w:pStyle w:val="BodyText"/>
        <w:numPr>
          <w:ilvl w:val="0"/>
          <w:numId w:val="7"/>
        </w:numPr>
        <w:spacing w:before="120"/>
        <w:rPr>
          <w:rFonts w:asciiTheme="majorHAnsi" w:hAnsiTheme="majorHAnsi" w:cstheme="majorHAnsi"/>
          <w:sz w:val="24"/>
          <w:szCs w:val="24"/>
        </w:rPr>
      </w:pPr>
      <w:r w:rsidRPr="00164BE1">
        <w:rPr>
          <w:rFonts w:asciiTheme="majorHAnsi" w:hAnsiTheme="majorHAnsi" w:cstheme="majorHAnsi"/>
          <w:sz w:val="24"/>
          <w:szCs w:val="24"/>
        </w:rPr>
        <w:t>that extend to their relatives or friends;</w:t>
      </w:r>
    </w:p>
    <w:p w:rsidR="00164BE1" w:rsidRPr="00A66FF3" w:rsidRDefault="00164BE1" w:rsidP="00164BE1">
      <w:pPr>
        <w:pStyle w:val="BodyText"/>
        <w:numPr>
          <w:ilvl w:val="0"/>
          <w:numId w:val="7"/>
        </w:numPr>
        <w:spacing w:before="120"/>
        <w:rPr>
          <w:rFonts w:asciiTheme="majorHAnsi" w:hAnsiTheme="majorHAnsi" w:cstheme="majorHAnsi"/>
          <w:sz w:val="24"/>
          <w:szCs w:val="24"/>
        </w:rPr>
      </w:pPr>
      <w:r w:rsidRPr="00A66FF3">
        <w:rPr>
          <w:rFonts w:asciiTheme="majorHAnsi" w:hAnsiTheme="majorHAnsi" w:cstheme="majorHAnsi"/>
          <w:sz w:val="24"/>
          <w:szCs w:val="24"/>
        </w:rPr>
        <w:t>with no legitimate business benefit;</w:t>
      </w:r>
    </w:p>
    <w:p w:rsidR="00164BE1" w:rsidRPr="00164BE1" w:rsidRDefault="00164BE1" w:rsidP="00164BE1">
      <w:pPr>
        <w:pStyle w:val="BodyText"/>
        <w:numPr>
          <w:ilvl w:val="0"/>
          <w:numId w:val="7"/>
        </w:numPr>
        <w:spacing w:before="120"/>
        <w:rPr>
          <w:rFonts w:asciiTheme="majorHAnsi" w:hAnsiTheme="majorHAnsi" w:cstheme="majorHAnsi"/>
          <w:sz w:val="24"/>
          <w:szCs w:val="24"/>
        </w:rPr>
      </w:pPr>
      <w:r w:rsidRPr="00164BE1">
        <w:rPr>
          <w:rFonts w:asciiTheme="majorHAnsi" w:hAnsiTheme="majorHAnsi" w:cstheme="majorHAnsi"/>
          <w:sz w:val="24"/>
          <w:szCs w:val="24"/>
        </w:rPr>
        <w:t>of money, or used in a similar way to money, or something easily converted to money;</w:t>
      </w:r>
    </w:p>
    <w:p w:rsidR="00164BE1" w:rsidRPr="002F5A11" w:rsidRDefault="00164BE1" w:rsidP="00164BE1">
      <w:pPr>
        <w:pStyle w:val="BodyText"/>
        <w:numPr>
          <w:ilvl w:val="0"/>
          <w:numId w:val="7"/>
        </w:numPr>
        <w:spacing w:before="120"/>
        <w:rPr>
          <w:rFonts w:asciiTheme="majorHAnsi" w:hAnsiTheme="majorHAnsi" w:cstheme="majorHAnsi"/>
          <w:sz w:val="24"/>
          <w:szCs w:val="24"/>
        </w:rPr>
      </w:pPr>
      <w:r w:rsidRPr="002F5A11">
        <w:rPr>
          <w:rFonts w:asciiTheme="majorHAnsi" w:hAnsiTheme="majorHAnsi" w:cstheme="majorHAnsi"/>
          <w:sz w:val="24"/>
          <w:szCs w:val="24"/>
        </w:rPr>
        <w:t xml:space="preserve">where, in relation to hospitality and events, the organisation will already be sufficiently represented to meet its business needs; </w:t>
      </w:r>
      <w:r w:rsidR="002F5A11" w:rsidRPr="002F5A11">
        <w:rPr>
          <w:rFonts w:asciiTheme="majorHAnsi" w:hAnsiTheme="majorHAnsi" w:cstheme="majorHAnsi"/>
          <w:sz w:val="24"/>
          <w:szCs w:val="24"/>
        </w:rPr>
        <w:t xml:space="preserve">(the number of employees attending an event must be approved prior to attending, and will be determined based on </w:t>
      </w:r>
      <w:r w:rsidR="002F5A11">
        <w:rPr>
          <w:rFonts w:asciiTheme="majorHAnsi" w:hAnsiTheme="majorHAnsi" w:cstheme="majorHAnsi"/>
          <w:sz w:val="24"/>
          <w:szCs w:val="24"/>
        </w:rPr>
        <w:t xml:space="preserve">discretion taking into consideration </w:t>
      </w:r>
      <w:r w:rsidR="002F5A11" w:rsidRPr="002F5A11">
        <w:rPr>
          <w:rFonts w:asciiTheme="majorHAnsi" w:hAnsiTheme="majorHAnsi" w:cstheme="majorHAnsi"/>
          <w:sz w:val="24"/>
          <w:szCs w:val="24"/>
        </w:rPr>
        <w:t>the type of event and overall benefit to Gippsland Water</w:t>
      </w:r>
      <w:r w:rsidR="002F5A11">
        <w:rPr>
          <w:rFonts w:asciiTheme="majorHAnsi" w:hAnsiTheme="majorHAnsi" w:cstheme="majorHAnsi"/>
          <w:sz w:val="24"/>
          <w:szCs w:val="24"/>
        </w:rPr>
        <w:t>)</w:t>
      </w:r>
      <w:r w:rsidR="002F5A11" w:rsidRPr="002F5A11">
        <w:rPr>
          <w:rFonts w:asciiTheme="majorHAnsi" w:hAnsiTheme="majorHAnsi" w:cstheme="majorHAnsi"/>
          <w:sz w:val="24"/>
          <w:szCs w:val="24"/>
        </w:rPr>
        <w:t xml:space="preserve">. </w:t>
      </w:r>
    </w:p>
    <w:p w:rsidR="00164BE1" w:rsidRPr="00164BE1" w:rsidRDefault="00164BE1" w:rsidP="00164BE1">
      <w:pPr>
        <w:pStyle w:val="BodyText"/>
        <w:numPr>
          <w:ilvl w:val="0"/>
          <w:numId w:val="7"/>
        </w:numPr>
        <w:spacing w:before="120"/>
        <w:rPr>
          <w:rFonts w:asciiTheme="majorHAnsi" w:hAnsiTheme="majorHAnsi" w:cstheme="majorHAnsi"/>
          <w:sz w:val="24"/>
          <w:szCs w:val="24"/>
        </w:rPr>
      </w:pPr>
      <w:r w:rsidRPr="00164BE1">
        <w:rPr>
          <w:rFonts w:asciiTheme="majorHAnsi" w:hAnsiTheme="majorHAnsi" w:cstheme="majorHAnsi"/>
          <w:sz w:val="24"/>
          <w:szCs w:val="24"/>
        </w:rPr>
        <w:t>where acceptance could be perceived as endorsement of a product or service, or acceptance would unfairly advantage the sponsor in future procurement decisions;</w:t>
      </w:r>
    </w:p>
    <w:p w:rsidR="00164BE1" w:rsidRPr="00164BE1" w:rsidRDefault="00164BE1" w:rsidP="00164BE1">
      <w:pPr>
        <w:pStyle w:val="BodyText"/>
        <w:numPr>
          <w:ilvl w:val="0"/>
          <w:numId w:val="7"/>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made by a person or organisation with a primary purpose to lobby Ministers, Members of Parliament or public sector agencies; and</w:t>
      </w:r>
    </w:p>
    <w:p w:rsidR="00164BE1" w:rsidRPr="00164BE1" w:rsidRDefault="00164BE1" w:rsidP="00164BE1">
      <w:pPr>
        <w:pStyle w:val="BodyText"/>
        <w:numPr>
          <w:ilvl w:val="0"/>
          <w:numId w:val="7"/>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made in secret.</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If an individual considers they have been offered a bribe or inducement, the offer must be reported to the Managing Director or the Manager </w:t>
      </w:r>
      <w:r w:rsidR="00471A57">
        <w:rPr>
          <w:rFonts w:asciiTheme="majorHAnsi" w:hAnsiTheme="majorHAnsi" w:cstheme="majorHAnsi"/>
          <w:sz w:val="24"/>
          <w:szCs w:val="24"/>
          <w:lang w:val="en-AU"/>
        </w:rPr>
        <w:t xml:space="preserve">Governance </w:t>
      </w:r>
      <w:r w:rsidRPr="00164BE1">
        <w:rPr>
          <w:rFonts w:asciiTheme="majorHAnsi" w:hAnsiTheme="majorHAnsi" w:cstheme="majorHAnsi"/>
          <w:sz w:val="24"/>
          <w:szCs w:val="24"/>
          <w:lang w:val="en-AU"/>
        </w:rPr>
        <w:t xml:space="preserve">(who should report any criminal or corrupt conduct to Victoria Police or the Independent Broad-based Anti-corruption Commission).  </w:t>
      </w:r>
    </w:p>
    <w:p w:rsidR="00471A57" w:rsidRPr="00EF25AE" w:rsidRDefault="00471A57" w:rsidP="00471A57">
      <w:pPr>
        <w:pStyle w:val="Heading3"/>
        <w:rPr>
          <w:sz w:val="24"/>
        </w:rPr>
      </w:pPr>
      <w:r w:rsidRPr="00EF25AE">
        <w:rPr>
          <w:sz w:val="24"/>
        </w:rPr>
        <w:t xml:space="preserve">Token offers </w:t>
      </w:r>
    </w:p>
    <w:p w:rsidR="00471A57" w:rsidRPr="00164BE1" w:rsidRDefault="00471A57" w:rsidP="00471A57">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 token offer is an offer of a gift, benefit or hospitality that is of inconsequential or trivial value to both the person making the offer and the individual. It may include promotional items such as pens and note pads, and modest hospitality which would be considered a basic courtesy, such as light refreshments offered during a meeting. </w:t>
      </w:r>
    </w:p>
    <w:p w:rsidR="00CC4152" w:rsidRDefault="00CC4152" w:rsidP="00471A57">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The minimum accountabilities state that token offers</w:t>
      </w:r>
      <w:r w:rsidR="00471A57" w:rsidRPr="00164BE1">
        <w:rPr>
          <w:rFonts w:asciiTheme="majorHAnsi" w:hAnsiTheme="majorHAnsi" w:cstheme="majorHAnsi"/>
          <w:sz w:val="24"/>
          <w:szCs w:val="24"/>
          <w:lang w:val="en-AU"/>
        </w:rPr>
        <w:t xml:space="preserve"> cannot be worth more than $50. </w:t>
      </w:r>
    </w:p>
    <w:p w:rsidR="00471A57" w:rsidRPr="00164BE1" w:rsidRDefault="00471A57" w:rsidP="00471A57">
      <w:pPr>
        <w:pStyle w:val="BodyText"/>
        <w:spacing w:before="120"/>
        <w:rPr>
          <w:rFonts w:asciiTheme="majorHAnsi" w:hAnsiTheme="majorHAnsi" w:cstheme="majorHAnsi"/>
          <w:color w:val="FF0000"/>
          <w:sz w:val="24"/>
          <w:szCs w:val="24"/>
          <w:lang w:val="en-AU"/>
        </w:rPr>
      </w:pPr>
      <w:r w:rsidRPr="00164BE1">
        <w:rPr>
          <w:rFonts w:asciiTheme="majorHAnsi" w:hAnsiTheme="majorHAnsi" w:cstheme="majorHAnsi"/>
          <w:sz w:val="24"/>
          <w:szCs w:val="24"/>
          <w:lang w:val="en-AU"/>
        </w:rPr>
        <w:t>Individuals may</w:t>
      </w:r>
      <w:r w:rsidR="00CC4152">
        <w:rPr>
          <w:rFonts w:asciiTheme="majorHAnsi" w:hAnsiTheme="majorHAnsi" w:cstheme="majorHAnsi"/>
          <w:sz w:val="24"/>
          <w:szCs w:val="24"/>
          <w:lang w:val="en-AU"/>
        </w:rPr>
        <w:t xml:space="preserve"> generally</w:t>
      </w:r>
      <w:r w:rsidRPr="00164BE1">
        <w:rPr>
          <w:rFonts w:asciiTheme="majorHAnsi" w:hAnsiTheme="majorHAnsi" w:cstheme="majorHAnsi"/>
          <w:sz w:val="24"/>
          <w:szCs w:val="24"/>
          <w:lang w:val="en-AU"/>
        </w:rPr>
        <w:t xml:space="preserve"> accept token offers without approval or declaring the offer on the Gippsland Water register</w:t>
      </w:r>
      <w:r w:rsidR="00CC4152">
        <w:rPr>
          <w:rFonts w:asciiTheme="majorHAnsi" w:hAnsiTheme="majorHAnsi" w:cstheme="majorHAnsi"/>
          <w:sz w:val="24"/>
          <w:szCs w:val="24"/>
          <w:lang w:val="en-AU"/>
        </w:rPr>
        <w:t xml:space="preserve"> as long as the offer does not create a conflict of interest or lead to reputational damage.</w:t>
      </w:r>
      <w:r w:rsidRPr="00164BE1">
        <w:rPr>
          <w:rFonts w:asciiTheme="majorHAnsi" w:hAnsiTheme="majorHAnsi" w:cstheme="majorHAnsi"/>
          <w:sz w:val="24"/>
          <w:szCs w:val="24"/>
          <w:lang w:val="en-AU"/>
        </w:rPr>
        <w:t xml:space="preserve"> </w:t>
      </w:r>
    </w:p>
    <w:p w:rsidR="00164BE1" w:rsidRPr="009946D0" w:rsidRDefault="00CC4152" w:rsidP="00164BE1">
      <w:pPr>
        <w:pStyle w:val="Heading3"/>
        <w:rPr>
          <w:sz w:val="24"/>
          <w:szCs w:val="24"/>
        </w:rPr>
      </w:pPr>
      <w:r w:rsidRPr="009946D0">
        <w:rPr>
          <w:sz w:val="24"/>
          <w:szCs w:val="24"/>
        </w:rPr>
        <w:t>N</w:t>
      </w:r>
      <w:r w:rsidR="00164BE1" w:rsidRPr="009946D0">
        <w:rPr>
          <w:sz w:val="24"/>
          <w:szCs w:val="24"/>
        </w:rPr>
        <w:t>on-token offers</w:t>
      </w:r>
    </w:p>
    <w:p w:rsidR="00164BE1" w:rsidRPr="00164BE1" w:rsidRDefault="00CC4152" w:rsidP="00164BE1">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 xml:space="preserve">Individuals can only accept non-token offers if they have a </w:t>
      </w:r>
      <w:r w:rsidR="00164BE1" w:rsidRPr="00164BE1">
        <w:rPr>
          <w:rFonts w:asciiTheme="majorHAnsi" w:hAnsiTheme="majorHAnsi" w:cstheme="majorHAnsi"/>
          <w:sz w:val="24"/>
          <w:szCs w:val="24"/>
          <w:lang w:val="en-AU"/>
        </w:rPr>
        <w:t xml:space="preserve">legitimate business </w:t>
      </w:r>
      <w:r>
        <w:rPr>
          <w:rFonts w:asciiTheme="majorHAnsi" w:hAnsiTheme="majorHAnsi" w:cstheme="majorHAnsi"/>
          <w:sz w:val="24"/>
          <w:szCs w:val="24"/>
          <w:lang w:val="en-AU"/>
        </w:rPr>
        <w:t>benefit.</w:t>
      </w:r>
      <w:r w:rsidR="00164BE1" w:rsidRPr="00164BE1">
        <w:rPr>
          <w:rFonts w:asciiTheme="majorHAnsi" w:hAnsiTheme="majorHAnsi" w:cstheme="majorHAnsi"/>
          <w:sz w:val="24"/>
          <w:szCs w:val="24"/>
          <w:lang w:val="en-AU"/>
        </w:rPr>
        <w:t xml:space="preserve"> All accepted non-token offers </w:t>
      </w:r>
      <w:r w:rsidR="00164BE1" w:rsidRPr="009946D0">
        <w:rPr>
          <w:rFonts w:asciiTheme="majorHAnsi" w:hAnsiTheme="majorHAnsi" w:cstheme="majorHAnsi"/>
          <w:sz w:val="24"/>
          <w:szCs w:val="24"/>
          <w:lang w:val="en-AU"/>
        </w:rPr>
        <w:t>must</w:t>
      </w:r>
      <w:r w:rsidR="00164BE1" w:rsidRPr="00164BE1">
        <w:rPr>
          <w:rFonts w:asciiTheme="majorHAnsi" w:hAnsiTheme="majorHAnsi" w:cstheme="majorHAnsi"/>
          <w:sz w:val="24"/>
          <w:szCs w:val="24"/>
          <w:lang w:val="en-AU"/>
        </w:rPr>
        <w:t xml:space="preserve"> be approved in writing by the </w:t>
      </w:r>
      <w:r w:rsidR="00A66FF3">
        <w:rPr>
          <w:rFonts w:asciiTheme="majorHAnsi" w:hAnsiTheme="majorHAnsi" w:cstheme="majorHAnsi"/>
          <w:sz w:val="24"/>
          <w:szCs w:val="24"/>
          <w:lang w:val="en-AU"/>
        </w:rPr>
        <w:t>General Manager</w:t>
      </w:r>
      <w:r w:rsidR="00164BE1" w:rsidRPr="00164BE1">
        <w:rPr>
          <w:rFonts w:asciiTheme="majorHAnsi" w:hAnsiTheme="majorHAnsi" w:cstheme="majorHAnsi"/>
          <w:sz w:val="24"/>
          <w:szCs w:val="24"/>
          <w:lang w:val="en-AU"/>
        </w:rPr>
        <w:t>, recorded in the gifts, benefits and hospitality register and be consistent with the following requirements:</w:t>
      </w:r>
    </w:p>
    <w:p w:rsidR="00164BE1" w:rsidRPr="00164BE1" w:rsidRDefault="00164BE1" w:rsidP="00164BE1">
      <w:pPr>
        <w:pStyle w:val="BodyText"/>
        <w:numPr>
          <w:ilvl w:val="0"/>
          <w:numId w:val="8"/>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it does not raise an actual, potential or perceived conflict of interest or have the potential to bring the individual, Gippsland Water or the public sector into disrepute; and</w:t>
      </w:r>
    </w:p>
    <w:p w:rsidR="00164BE1" w:rsidRPr="00164BE1" w:rsidRDefault="00164BE1" w:rsidP="00164BE1">
      <w:pPr>
        <w:pStyle w:val="BodyText"/>
        <w:numPr>
          <w:ilvl w:val="0"/>
          <w:numId w:val="8"/>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there is a legitimate business reason for acceptance. It is offered in the course of the individual’s official duties, relates to the individual’s responsibilities and has a benefit to Gippsland Water, public sector or the State.</w:t>
      </w:r>
    </w:p>
    <w:p w:rsid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Individuals may be offered a gift or hospitality where there is no opportunity to seek written approval from their manager prior to accepting. For example, they may be offered a wrapped gift that they later identify as being a non-token gift. In these cases, the individual must seek approval from their manager within five business days.  </w:t>
      </w:r>
    </w:p>
    <w:p w:rsidR="00AA6CFA" w:rsidRDefault="00AA6CFA" w:rsidP="00164BE1">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 xml:space="preserve">Where the gift would likely bring you or the organisation into disrepute, the organisation should return the gift. If it represents a conflict of interest for you, the organisation should either return the gift or transfer ownership to the organisation to mitigate the risk. </w:t>
      </w:r>
    </w:p>
    <w:p w:rsidR="00164BE1" w:rsidRPr="000C72F1" w:rsidRDefault="00164BE1" w:rsidP="00164BE1">
      <w:pPr>
        <w:pStyle w:val="Heading3"/>
        <w:rPr>
          <w:sz w:val="24"/>
        </w:rPr>
      </w:pPr>
      <w:r w:rsidRPr="000C72F1">
        <w:rPr>
          <w:sz w:val="24"/>
        </w:rPr>
        <w:t xml:space="preserve">Recording non-token offers of gifts, benefits and hospitality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All non-token offers, whether accepted or declined, must be recorded in the Gippsland Water gifts, benefits and hospitality register. The business reason for accepting the non-token offer must be recorded in the register </w:t>
      </w:r>
      <w:r w:rsidR="00EF1EF8">
        <w:rPr>
          <w:rFonts w:asciiTheme="majorHAnsi" w:hAnsiTheme="majorHAnsi" w:cstheme="majorHAnsi"/>
          <w:sz w:val="24"/>
          <w:szCs w:val="24"/>
          <w:lang w:val="en-AU"/>
        </w:rPr>
        <w:t>with</w:t>
      </w:r>
      <w:r w:rsidRPr="00164BE1">
        <w:rPr>
          <w:rFonts w:asciiTheme="majorHAnsi" w:hAnsiTheme="majorHAnsi" w:cstheme="majorHAnsi"/>
          <w:sz w:val="24"/>
          <w:szCs w:val="24"/>
          <w:lang w:val="en-AU"/>
        </w:rPr>
        <w:t xml:space="preserve"> sufficient detail to link the acceptance to the individual’s work functions and benefit to Gippsland Water, public sector or State.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Individuals should consider the following examples of acceptable and unacceptable levels of detail to be included in Gippsland Water’s register when recording the business reason:</w:t>
      </w:r>
    </w:p>
    <w:tbl>
      <w:tblPr>
        <w:tblStyle w:val="TableGridLight"/>
        <w:tblW w:w="5000" w:type="pct"/>
        <w:tblLook w:val="04A0" w:firstRow="1" w:lastRow="0" w:firstColumn="1" w:lastColumn="0" w:noHBand="0" w:noVBand="1"/>
      </w:tblPr>
      <w:tblGrid>
        <w:gridCol w:w="2029"/>
        <w:gridCol w:w="8166"/>
      </w:tblGrid>
      <w:tr w:rsidR="00164BE1" w:rsidRPr="00164BE1" w:rsidTr="009946D0">
        <w:tc>
          <w:tcPr>
            <w:tcW w:w="995" w:type="pct"/>
            <w:tcBorders>
              <w:top w:val="single" w:sz="4" w:space="0" w:color="B4D1EE" w:themeColor="accent6"/>
              <w:left w:val="single" w:sz="4" w:space="0" w:color="B4D1EE" w:themeColor="accent6"/>
              <w:bottom w:val="single" w:sz="4" w:space="0" w:color="B4D1EE" w:themeColor="accent6"/>
              <w:right w:val="single" w:sz="4" w:space="0" w:color="B4D1EE" w:themeColor="accent6"/>
            </w:tcBorders>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Unacceptable:</w:t>
            </w:r>
          </w:p>
        </w:tc>
        <w:tc>
          <w:tcPr>
            <w:tcW w:w="4005" w:type="pct"/>
            <w:tcBorders>
              <w:top w:val="single" w:sz="4" w:space="0" w:color="B4D1EE" w:themeColor="accent6"/>
              <w:left w:val="single" w:sz="4" w:space="0" w:color="B4D1EE" w:themeColor="accent6"/>
              <w:bottom w:val="single" w:sz="4" w:space="0" w:color="B4D1EE" w:themeColor="accent6"/>
              <w:right w:val="single" w:sz="4" w:space="0" w:color="B4D1EE" w:themeColor="accent6"/>
            </w:tcBorders>
            <w:hideMark/>
          </w:tcPr>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sz w:val="24"/>
                <w:szCs w:val="24"/>
                <w:lang w:val="en-AU"/>
              </w:rPr>
              <w:t>“Networking”</w:t>
            </w:r>
          </w:p>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sz w:val="24"/>
                <w:szCs w:val="24"/>
                <w:lang w:val="en-AU"/>
              </w:rPr>
              <w:t>“Maintaining stakeholder relationships”</w:t>
            </w:r>
          </w:p>
        </w:tc>
      </w:tr>
      <w:tr w:rsidR="00EF1EF8" w:rsidRPr="00164BE1" w:rsidTr="00EF1EF8">
        <w:tc>
          <w:tcPr>
            <w:tcW w:w="995" w:type="pct"/>
            <w:tcBorders>
              <w:top w:val="single" w:sz="4" w:space="0" w:color="B4D1EE" w:themeColor="accent6"/>
              <w:left w:val="single" w:sz="4" w:space="0" w:color="B4D1EE" w:themeColor="accent6"/>
              <w:bottom w:val="single" w:sz="4" w:space="0" w:color="B4D1EE" w:themeColor="accent6"/>
              <w:right w:val="single" w:sz="4" w:space="0" w:color="B4D1EE" w:themeColor="accent6"/>
            </w:tcBorders>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Acceptable:</w:t>
            </w:r>
          </w:p>
        </w:tc>
        <w:tc>
          <w:tcPr>
            <w:tcW w:w="4005" w:type="pct"/>
            <w:tcBorders>
              <w:top w:val="single" w:sz="4" w:space="0" w:color="B4D1EE" w:themeColor="accent6"/>
              <w:left w:val="single" w:sz="4" w:space="0" w:color="B4D1EE" w:themeColor="accent6"/>
              <w:bottom w:val="single" w:sz="4" w:space="0" w:color="B4D1EE" w:themeColor="accent6"/>
              <w:right w:val="single" w:sz="4" w:space="0" w:color="B4D1EE" w:themeColor="accent6"/>
            </w:tcBorders>
            <w:hideMark/>
          </w:tcPr>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 is responsible for evaluating and reporting outcomes of Gippsland Water’s sponsorship of Event A. Individual attended Event A in an official capacity and reported back to Gippsland Water on the event.”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 presented to a visiting international delegation. The delegation presented the </w:t>
            </w:r>
            <w:r w:rsidR="009946D0">
              <w:rPr>
                <w:rFonts w:asciiTheme="majorHAnsi" w:hAnsiTheme="majorHAnsi" w:cstheme="majorHAnsi"/>
                <w:sz w:val="24"/>
                <w:szCs w:val="24"/>
                <w:lang w:val="en-AU"/>
              </w:rPr>
              <w:t>i</w:t>
            </w:r>
            <w:r w:rsidRPr="00164BE1">
              <w:rPr>
                <w:rFonts w:asciiTheme="majorHAnsi" w:hAnsiTheme="majorHAnsi" w:cstheme="majorHAnsi"/>
                <w:sz w:val="24"/>
                <w:szCs w:val="24"/>
                <w:lang w:val="en-AU"/>
              </w:rPr>
              <w:t xml:space="preserve">ndividual with a cultural item worth an estimated $200. Declining the gift would have caused offence. The Gift was accepted, written approval was subsequently obtained for the gift, which became Gippsland Water’s property.”  </w:t>
            </w:r>
          </w:p>
        </w:tc>
      </w:tr>
    </w:tbl>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Employees are responsible for completing the </w:t>
      </w:r>
      <w:r w:rsidR="009946D0">
        <w:rPr>
          <w:rFonts w:asciiTheme="majorHAnsi" w:hAnsiTheme="majorHAnsi" w:cstheme="majorHAnsi"/>
          <w:i/>
          <w:sz w:val="24"/>
          <w:szCs w:val="24"/>
          <w:lang w:val="en-AU"/>
        </w:rPr>
        <w:t>G</w:t>
      </w:r>
      <w:r w:rsidRPr="009946D0">
        <w:rPr>
          <w:rFonts w:asciiTheme="majorHAnsi" w:hAnsiTheme="majorHAnsi" w:cstheme="majorHAnsi"/>
          <w:i/>
          <w:sz w:val="24"/>
          <w:szCs w:val="24"/>
          <w:lang w:val="en-AU"/>
        </w:rPr>
        <w:t xml:space="preserve">ift, </w:t>
      </w:r>
      <w:r w:rsidR="009946D0">
        <w:rPr>
          <w:rFonts w:asciiTheme="majorHAnsi" w:hAnsiTheme="majorHAnsi" w:cstheme="majorHAnsi"/>
          <w:i/>
          <w:sz w:val="24"/>
          <w:szCs w:val="24"/>
          <w:lang w:val="en-AU"/>
        </w:rPr>
        <w:t>B</w:t>
      </w:r>
      <w:r w:rsidRPr="009946D0">
        <w:rPr>
          <w:rFonts w:asciiTheme="majorHAnsi" w:hAnsiTheme="majorHAnsi" w:cstheme="majorHAnsi"/>
          <w:i/>
          <w:sz w:val="24"/>
          <w:szCs w:val="24"/>
          <w:lang w:val="en-AU"/>
        </w:rPr>
        <w:t xml:space="preserve">enefit or </w:t>
      </w:r>
      <w:r w:rsidR="009946D0">
        <w:rPr>
          <w:rFonts w:asciiTheme="majorHAnsi" w:hAnsiTheme="majorHAnsi" w:cstheme="majorHAnsi"/>
          <w:i/>
          <w:sz w:val="24"/>
          <w:szCs w:val="24"/>
          <w:lang w:val="en-AU"/>
        </w:rPr>
        <w:t>H</w:t>
      </w:r>
      <w:r w:rsidRPr="009946D0">
        <w:rPr>
          <w:rFonts w:asciiTheme="majorHAnsi" w:hAnsiTheme="majorHAnsi" w:cstheme="majorHAnsi"/>
          <w:i/>
          <w:sz w:val="24"/>
          <w:szCs w:val="24"/>
          <w:lang w:val="en-AU"/>
        </w:rPr>
        <w:t>ospitality declaration form</w:t>
      </w:r>
      <w:r w:rsidRPr="00164BE1">
        <w:rPr>
          <w:rFonts w:asciiTheme="majorHAnsi" w:hAnsiTheme="majorHAnsi" w:cstheme="majorHAnsi"/>
          <w:sz w:val="24"/>
          <w:szCs w:val="24"/>
          <w:lang w:val="en-AU"/>
        </w:rPr>
        <w:t xml:space="preserve"> which can be found on the </w:t>
      </w:r>
      <w:r w:rsidR="009946D0">
        <w:rPr>
          <w:rFonts w:asciiTheme="majorHAnsi" w:hAnsiTheme="majorHAnsi" w:cstheme="majorHAnsi"/>
          <w:sz w:val="24"/>
          <w:szCs w:val="24"/>
          <w:lang w:val="en-AU"/>
        </w:rPr>
        <w:t>intranet</w:t>
      </w:r>
      <w:r w:rsidRPr="00164BE1">
        <w:rPr>
          <w:rFonts w:asciiTheme="majorHAnsi" w:hAnsiTheme="majorHAnsi" w:cstheme="majorHAnsi"/>
          <w:sz w:val="24"/>
          <w:szCs w:val="24"/>
          <w:lang w:val="en-AU"/>
        </w:rPr>
        <w:t xml:space="preserve"> within 5 days of receipt of the offer. Declaration forms will be processed by </w:t>
      </w:r>
      <w:r w:rsidR="009946D0">
        <w:rPr>
          <w:rFonts w:asciiTheme="majorHAnsi" w:hAnsiTheme="majorHAnsi" w:cstheme="majorHAnsi"/>
          <w:sz w:val="24"/>
          <w:szCs w:val="24"/>
          <w:lang w:val="en-AU"/>
        </w:rPr>
        <w:t xml:space="preserve">Governance </w:t>
      </w:r>
      <w:r w:rsidRPr="00164BE1">
        <w:rPr>
          <w:rFonts w:asciiTheme="majorHAnsi" w:hAnsiTheme="majorHAnsi" w:cstheme="majorHAnsi"/>
          <w:sz w:val="24"/>
          <w:szCs w:val="24"/>
          <w:lang w:val="en-AU"/>
        </w:rPr>
        <w:t xml:space="preserve">and stored in accordance with the </w:t>
      </w:r>
      <w:r w:rsidRPr="009946D0">
        <w:rPr>
          <w:rFonts w:asciiTheme="majorHAnsi" w:hAnsiTheme="majorHAnsi" w:cstheme="majorHAnsi"/>
          <w:i/>
          <w:sz w:val="24"/>
          <w:szCs w:val="24"/>
          <w:lang w:val="en-AU"/>
        </w:rPr>
        <w:t>Public Records Act 1973</w:t>
      </w:r>
      <w:r w:rsidRPr="00164BE1">
        <w:rPr>
          <w:rFonts w:asciiTheme="majorHAnsi" w:hAnsiTheme="majorHAnsi" w:cstheme="majorHAnsi"/>
          <w:sz w:val="24"/>
          <w:szCs w:val="24"/>
          <w:lang w:val="en-AU"/>
        </w:rPr>
        <w:t>.</w:t>
      </w:r>
    </w:p>
    <w:p w:rsid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Gippsland Water’s Audit and Risk Management Committee will receive a report at least annually on the administration and quality control of the gifts, benefits and hospitality policy, processes and register. The report will include analysis of Gippsland Water’s gifts, benefits and hospitality risks (including multiple offers from the same source and offers from business associates), risk mitigation measures and any proposed improvements.</w:t>
      </w:r>
    </w:p>
    <w:p w:rsidR="009946D0" w:rsidRPr="00164BE1" w:rsidRDefault="009946D0" w:rsidP="009946D0">
      <w:pPr>
        <w:spacing w:line="240" w:lineRule="auto"/>
        <w:rPr>
          <w:rFonts w:asciiTheme="majorHAnsi" w:hAnsiTheme="majorHAnsi" w:cstheme="majorHAnsi"/>
          <w:sz w:val="24"/>
          <w:szCs w:val="24"/>
        </w:rPr>
      </w:pPr>
      <w:r w:rsidRPr="009946D0">
        <w:rPr>
          <w:rFonts w:asciiTheme="majorHAnsi" w:hAnsiTheme="majorHAnsi" w:cstheme="majorHAnsi"/>
          <w:sz w:val="24"/>
          <w:szCs w:val="24"/>
        </w:rPr>
        <w:t>To enhance transparency and public perception of Gippsland Water, a copy of the Gifts, Benefits and Hospitality Register will be</w:t>
      </w:r>
      <w:r w:rsidRPr="00E34003">
        <w:rPr>
          <w:rFonts w:asciiTheme="majorHAnsi" w:hAnsiTheme="majorHAnsi" w:cstheme="majorHAnsi"/>
          <w:sz w:val="24"/>
          <w:szCs w:val="24"/>
        </w:rPr>
        <w:t xml:space="preserve"> published on </w:t>
      </w:r>
      <w:r>
        <w:rPr>
          <w:rFonts w:asciiTheme="majorHAnsi" w:hAnsiTheme="majorHAnsi" w:cstheme="majorHAnsi"/>
          <w:sz w:val="24"/>
          <w:szCs w:val="24"/>
        </w:rPr>
        <w:t>Gippsland Water’s external</w:t>
      </w:r>
      <w:r w:rsidRPr="00E34003">
        <w:rPr>
          <w:rFonts w:asciiTheme="majorHAnsi" w:hAnsiTheme="majorHAnsi" w:cstheme="majorHAnsi"/>
          <w:sz w:val="24"/>
          <w:szCs w:val="24"/>
        </w:rPr>
        <w:t xml:space="preserve"> website. To ensure employee privacy is maintained, personal details will be de-identified.</w:t>
      </w:r>
      <w:r w:rsidR="000C72F1">
        <w:rPr>
          <w:rFonts w:asciiTheme="majorHAnsi" w:hAnsiTheme="majorHAnsi" w:cstheme="majorHAnsi"/>
          <w:sz w:val="24"/>
          <w:szCs w:val="24"/>
        </w:rPr>
        <w:t xml:space="preserve"> Token offers or sustenance (light food and drink with business meetings, such as juice and sandwiches) are not required to be recorded).</w:t>
      </w:r>
    </w:p>
    <w:p w:rsidR="00164BE1" w:rsidRPr="002F5A11" w:rsidRDefault="00164BE1" w:rsidP="00164BE1">
      <w:pPr>
        <w:pStyle w:val="Heading3"/>
        <w:rPr>
          <w:sz w:val="24"/>
        </w:rPr>
      </w:pPr>
      <w:r w:rsidRPr="002F5A11">
        <w:rPr>
          <w:sz w:val="24"/>
        </w:rPr>
        <w:t>Ownership of gifts offered to individuals</w:t>
      </w:r>
    </w:p>
    <w:p w:rsid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Non-token gifts </w:t>
      </w:r>
      <w:r w:rsidR="000C72F1">
        <w:rPr>
          <w:rFonts w:asciiTheme="majorHAnsi" w:hAnsiTheme="majorHAnsi" w:cstheme="majorHAnsi"/>
          <w:sz w:val="24"/>
          <w:szCs w:val="24"/>
          <w:lang w:val="en-AU"/>
        </w:rPr>
        <w:t xml:space="preserve">with a legitimate business benefit that have been </w:t>
      </w:r>
      <w:r w:rsidRPr="00164BE1">
        <w:rPr>
          <w:rFonts w:asciiTheme="majorHAnsi" w:hAnsiTheme="majorHAnsi" w:cstheme="majorHAnsi"/>
          <w:sz w:val="24"/>
          <w:szCs w:val="24"/>
          <w:lang w:val="en-AU"/>
        </w:rPr>
        <w:t xml:space="preserve">accepted by an individual for their work or contribution may be retained by the individual where the </w:t>
      </w:r>
      <w:r w:rsidR="000C72F1">
        <w:rPr>
          <w:rFonts w:asciiTheme="majorHAnsi" w:hAnsiTheme="majorHAnsi" w:cstheme="majorHAnsi"/>
          <w:sz w:val="24"/>
          <w:szCs w:val="24"/>
          <w:lang w:val="en-AU"/>
        </w:rPr>
        <w:t xml:space="preserve">gift is not likely to bring them or Gippsland Water into disrepute, and where the </w:t>
      </w:r>
      <w:r w:rsidR="002F5A11">
        <w:rPr>
          <w:rFonts w:asciiTheme="majorHAnsi" w:hAnsiTheme="majorHAnsi" w:cstheme="majorHAnsi"/>
          <w:sz w:val="24"/>
          <w:szCs w:val="24"/>
          <w:lang w:val="en-AU"/>
        </w:rPr>
        <w:t>General Manager or Managing Director</w:t>
      </w:r>
      <w:r w:rsidRPr="00164BE1">
        <w:rPr>
          <w:rFonts w:asciiTheme="majorHAnsi" w:hAnsiTheme="majorHAnsi" w:cstheme="majorHAnsi"/>
          <w:sz w:val="24"/>
          <w:szCs w:val="24"/>
          <w:lang w:val="en-AU"/>
        </w:rPr>
        <w:t xml:space="preserve"> has provided written approval. Employees must transfer to Gippsland Water official gifts or any gift of cultural significance or significant value (over $50). </w:t>
      </w:r>
    </w:p>
    <w:p w:rsidR="000C72F1" w:rsidRPr="000972FA" w:rsidRDefault="000C72F1" w:rsidP="002F5A11">
      <w:pPr>
        <w:pStyle w:val="Heading3"/>
        <w:rPr>
          <w:sz w:val="24"/>
        </w:rPr>
      </w:pPr>
      <w:r w:rsidRPr="000972FA">
        <w:rPr>
          <w:sz w:val="24"/>
        </w:rPr>
        <w:t>Repeat Offers</w:t>
      </w:r>
    </w:p>
    <w:p w:rsidR="000C72F1" w:rsidRDefault="000C72F1" w:rsidP="000C72F1">
      <w:pPr>
        <w:pStyle w:val="BodyText"/>
        <w:spacing w:before="120"/>
        <w:rPr>
          <w:rFonts w:asciiTheme="majorHAnsi" w:hAnsiTheme="majorHAnsi" w:cstheme="majorHAnsi"/>
          <w:sz w:val="24"/>
          <w:szCs w:val="24"/>
          <w:lang w:val="en-AU"/>
        </w:rPr>
      </w:pPr>
      <w:r w:rsidRPr="00A66FF3">
        <w:rPr>
          <w:rFonts w:asciiTheme="majorHAnsi" w:hAnsiTheme="majorHAnsi" w:cstheme="majorHAnsi"/>
          <w:sz w:val="24"/>
          <w:szCs w:val="24"/>
          <w:lang w:val="en-AU"/>
        </w:rPr>
        <w:t xml:space="preserve">Receiving multiple offers (token or non-token) from the same person or organisation can generate a stronger perception that the person or organisation could influence you. Individuals should refuse repeat offers from the same source if they create a conflict of interest or may lead to reputational damage. </w:t>
      </w:r>
    </w:p>
    <w:p w:rsidR="000C72F1" w:rsidRPr="000972FA" w:rsidRDefault="000C72F1" w:rsidP="002F5A11">
      <w:pPr>
        <w:pStyle w:val="Heading3"/>
        <w:rPr>
          <w:sz w:val="24"/>
        </w:rPr>
      </w:pPr>
      <w:r w:rsidRPr="000972FA">
        <w:rPr>
          <w:sz w:val="24"/>
        </w:rPr>
        <w:t>Ceremonial gifts</w:t>
      </w:r>
    </w:p>
    <w:p w:rsidR="000C72F1" w:rsidRDefault="000C72F1" w:rsidP="000C72F1">
      <w:pPr>
        <w:pStyle w:val="BodyText"/>
        <w:spacing w:before="120"/>
        <w:rPr>
          <w:rFonts w:asciiTheme="majorHAnsi" w:hAnsiTheme="majorHAnsi" w:cstheme="majorHAnsi"/>
          <w:sz w:val="24"/>
          <w:szCs w:val="24"/>
          <w:lang w:val="en-AU"/>
        </w:rPr>
      </w:pPr>
      <w:r>
        <w:rPr>
          <w:rFonts w:asciiTheme="majorHAnsi" w:hAnsiTheme="majorHAnsi" w:cstheme="majorHAnsi"/>
          <w:sz w:val="24"/>
          <w:szCs w:val="24"/>
          <w:lang w:val="en-AU"/>
        </w:rPr>
        <w:t xml:space="preserve">Ceremonial gifts are official gifts provided as part of the culture and practices of communities and government, within Australia or internationally. Ceremonial gifts are the property of Gippsland Water, irrespective of value, and should be accepted by individuals on behalf of Gippsland Water. The receipt of ceremonial gifts should be recorded on Gippsland Water’s register but this information does not need to be published online. </w:t>
      </w:r>
    </w:p>
    <w:p w:rsidR="000972FA" w:rsidRDefault="000972FA" w:rsidP="00AE2F53">
      <w:pPr>
        <w:pStyle w:val="Heading3"/>
        <w:rPr>
          <w:sz w:val="24"/>
        </w:rPr>
      </w:pPr>
      <w:r>
        <w:rPr>
          <w:sz w:val="24"/>
        </w:rPr>
        <w:t>Hospitality provided by Victorian public sector organisations</w:t>
      </w:r>
    </w:p>
    <w:p w:rsidR="000972FA" w:rsidRPr="000972FA" w:rsidRDefault="000972FA" w:rsidP="000972FA">
      <w:pPr>
        <w:pStyle w:val="BodyText"/>
        <w:rPr>
          <w:rFonts w:asciiTheme="majorHAnsi" w:hAnsiTheme="majorHAnsi" w:cstheme="majorHAnsi"/>
          <w:sz w:val="24"/>
          <w:szCs w:val="24"/>
          <w:lang w:val="en-AU"/>
        </w:rPr>
      </w:pPr>
      <w:r w:rsidRPr="000972FA">
        <w:rPr>
          <w:rFonts w:asciiTheme="majorHAnsi" w:hAnsiTheme="majorHAnsi" w:cstheme="majorHAnsi"/>
          <w:sz w:val="24"/>
          <w:szCs w:val="24"/>
          <w:lang w:val="en-AU"/>
        </w:rPr>
        <w:t>Victorian public sector organisations may provide hospitality to stakeholders, as part of their functions. When offered hospitality by a Victorian public sector organisation, individuals should consider the requirements of the minimum accountabilities.</w:t>
      </w:r>
    </w:p>
    <w:p w:rsidR="000972FA" w:rsidRPr="00AE2F53" w:rsidRDefault="000972FA">
      <w:pPr>
        <w:pStyle w:val="BodyText"/>
        <w:spacing w:before="120"/>
        <w:rPr>
          <w:rFonts w:asciiTheme="majorHAnsi" w:hAnsiTheme="majorHAnsi" w:cstheme="majorHAnsi"/>
          <w:sz w:val="24"/>
          <w:szCs w:val="24"/>
          <w:lang w:val="en-AU"/>
        </w:rPr>
      </w:pPr>
      <w:r w:rsidRPr="000972FA">
        <w:rPr>
          <w:rFonts w:asciiTheme="majorHAnsi" w:hAnsiTheme="majorHAnsi" w:cstheme="majorHAnsi"/>
          <w:sz w:val="24"/>
          <w:szCs w:val="24"/>
          <w:lang w:val="en-AU"/>
        </w:rPr>
        <w:t xml:space="preserve">Accepted hospitality offered by a Victorian public sector organisation as part of official business does not need to be declared or reported, where the reason for the individual’s attendance is consistent with </w:t>
      </w:r>
      <w:r>
        <w:rPr>
          <w:rFonts w:asciiTheme="majorHAnsi" w:hAnsiTheme="majorHAnsi" w:cstheme="majorHAnsi"/>
          <w:sz w:val="24"/>
          <w:szCs w:val="24"/>
          <w:lang w:val="en-AU"/>
        </w:rPr>
        <w:t>Gippsland Water’s</w:t>
      </w:r>
      <w:r w:rsidRPr="000972FA">
        <w:rPr>
          <w:rFonts w:asciiTheme="majorHAnsi" w:hAnsiTheme="majorHAnsi" w:cstheme="majorHAnsi"/>
          <w:sz w:val="24"/>
          <w:szCs w:val="24"/>
          <w:lang w:val="en-AU"/>
        </w:rPr>
        <w:t xml:space="preserve"> functions and objectives and with the individual’s role.</w:t>
      </w:r>
    </w:p>
    <w:p w:rsidR="000972FA" w:rsidRDefault="000972FA" w:rsidP="000972FA">
      <w:pPr>
        <w:pStyle w:val="Heading3"/>
        <w:rPr>
          <w:sz w:val="24"/>
        </w:rPr>
      </w:pPr>
      <w:r>
        <w:rPr>
          <w:sz w:val="24"/>
        </w:rPr>
        <w:t>Hospitality provided by other organisations</w:t>
      </w:r>
    </w:p>
    <w:p w:rsidR="000972FA" w:rsidRPr="000972FA" w:rsidRDefault="00593D4F" w:rsidP="000972FA">
      <w:pPr>
        <w:pStyle w:val="BodyText"/>
        <w:rPr>
          <w:rFonts w:asciiTheme="majorHAnsi" w:hAnsiTheme="majorHAnsi" w:cstheme="majorHAnsi"/>
          <w:sz w:val="24"/>
          <w:szCs w:val="24"/>
          <w:lang w:val="en-AU"/>
        </w:rPr>
      </w:pPr>
      <w:r>
        <w:rPr>
          <w:rFonts w:asciiTheme="majorHAnsi" w:hAnsiTheme="majorHAnsi" w:cstheme="majorHAnsi"/>
          <w:sz w:val="24"/>
          <w:szCs w:val="24"/>
          <w:lang w:val="en-AU"/>
        </w:rPr>
        <w:t>Non-token h</w:t>
      </w:r>
      <w:r w:rsidR="000972FA" w:rsidRPr="000972FA">
        <w:rPr>
          <w:rFonts w:asciiTheme="majorHAnsi" w:hAnsiTheme="majorHAnsi" w:cstheme="majorHAnsi"/>
          <w:sz w:val="24"/>
          <w:szCs w:val="24"/>
          <w:lang w:val="en-AU"/>
        </w:rPr>
        <w:t xml:space="preserve">ospitality offered by </w:t>
      </w:r>
      <w:r w:rsidR="000972FA">
        <w:rPr>
          <w:rFonts w:asciiTheme="majorHAnsi" w:hAnsiTheme="majorHAnsi" w:cstheme="majorHAnsi"/>
          <w:sz w:val="24"/>
          <w:szCs w:val="24"/>
          <w:lang w:val="en-AU"/>
        </w:rPr>
        <w:t>other</w:t>
      </w:r>
      <w:r w:rsidR="000972FA" w:rsidRPr="000972FA">
        <w:rPr>
          <w:rFonts w:asciiTheme="majorHAnsi" w:hAnsiTheme="majorHAnsi" w:cstheme="majorHAnsi"/>
          <w:sz w:val="24"/>
          <w:szCs w:val="24"/>
          <w:lang w:val="en-AU"/>
        </w:rPr>
        <w:t xml:space="preserve"> public and private sector organisations as part of official business is not published in the public register</w:t>
      </w:r>
      <w:r w:rsidR="000972FA">
        <w:rPr>
          <w:rFonts w:asciiTheme="majorHAnsi" w:hAnsiTheme="majorHAnsi" w:cstheme="majorHAnsi"/>
          <w:sz w:val="24"/>
          <w:szCs w:val="24"/>
          <w:lang w:val="en-AU"/>
        </w:rPr>
        <w:t>, however must be declared and recorded on the internal register</w:t>
      </w:r>
      <w:r w:rsidR="000972FA" w:rsidRPr="000972FA">
        <w:rPr>
          <w:rFonts w:asciiTheme="majorHAnsi" w:hAnsiTheme="majorHAnsi" w:cstheme="majorHAnsi"/>
          <w:sz w:val="24"/>
          <w:szCs w:val="24"/>
          <w:lang w:val="en-AU"/>
        </w:rPr>
        <w:t>. This is based on the need to attend events for the purposes of stakeholder engagement, to develop professional and sector knowledge, and to collaborate on projects.</w:t>
      </w:r>
    </w:p>
    <w:p w:rsidR="000972FA" w:rsidRPr="000972FA" w:rsidRDefault="000972FA" w:rsidP="000972FA">
      <w:pPr>
        <w:pStyle w:val="BodyText"/>
        <w:rPr>
          <w:rFonts w:asciiTheme="majorHAnsi" w:hAnsiTheme="majorHAnsi" w:cstheme="majorHAnsi"/>
          <w:sz w:val="24"/>
          <w:szCs w:val="24"/>
          <w:lang w:val="en-AU"/>
        </w:rPr>
      </w:pPr>
      <w:r w:rsidRPr="000972FA">
        <w:rPr>
          <w:rFonts w:asciiTheme="majorHAnsi" w:hAnsiTheme="majorHAnsi" w:cstheme="majorHAnsi"/>
          <w:sz w:val="24"/>
          <w:szCs w:val="24"/>
          <w:lang w:val="en-AU"/>
        </w:rPr>
        <w:t xml:space="preserve">This allows for monitoring and oversight of declarations. </w:t>
      </w:r>
      <w:r w:rsidR="00593D4F">
        <w:rPr>
          <w:rFonts w:asciiTheme="majorHAnsi" w:hAnsiTheme="majorHAnsi" w:cstheme="majorHAnsi"/>
          <w:sz w:val="24"/>
          <w:szCs w:val="24"/>
          <w:lang w:val="en-AU"/>
        </w:rPr>
        <w:t>Token offers or h</w:t>
      </w:r>
      <w:r w:rsidRPr="000972FA">
        <w:rPr>
          <w:rFonts w:asciiTheme="majorHAnsi" w:hAnsiTheme="majorHAnsi" w:cstheme="majorHAnsi"/>
          <w:sz w:val="24"/>
          <w:szCs w:val="24"/>
          <w:lang w:val="en-AU"/>
        </w:rPr>
        <w:t xml:space="preserve">ospitality that is offered, but not accepted is not declared or recorded. </w:t>
      </w:r>
    </w:p>
    <w:p w:rsidR="00164BE1" w:rsidRPr="002F5A11" w:rsidRDefault="00164BE1" w:rsidP="00164BE1">
      <w:pPr>
        <w:pStyle w:val="Heading2"/>
        <w:ind w:left="284" w:hanging="284"/>
        <w:rPr>
          <w:sz w:val="24"/>
        </w:rPr>
      </w:pPr>
      <w:r w:rsidRPr="002F5A11">
        <w:rPr>
          <w:sz w:val="24"/>
        </w:rPr>
        <w:t>Management of the provision of gifts, benefits and hospitality</w:t>
      </w:r>
    </w:p>
    <w:p w:rsid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This section sets out the requirements for providing gifts, benefits and hospitality.</w:t>
      </w:r>
    </w:p>
    <w:p w:rsidR="00164BE1" w:rsidRPr="002F5A11" w:rsidRDefault="00044176" w:rsidP="00164BE1">
      <w:pPr>
        <w:pStyle w:val="Heading3"/>
        <w:rPr>
          <w:sz w:val="24"/>
        </w:rPr>
      </w:pPr>
      <w:r>
        <w:rPr>
          <w:sz w:val="24"/>
        </w:rPr>
        <w:t>General r</w:t>
      </w:r>
      <w:r w:rsidR="00164BE1" w:rsidRPr="002F5A11">
        <w:rPr>
          <w:sz w:val="24"/>
        </w:rPr>
        <w:t xml:space="preserve">equirements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Gifts, benefits and hospitality may be provided </w:t>
      </w:r>
      <w:r w:rsidR="000972FA">
        <w:rPr>
          <w:rFonts w:asciiTheme="majorHAnsi" w:hAnsiTheme="majorHAnsi" w:cstheme="majorHAnsi"/>
          <w:sz w:val="24"/>
          <w:szCs w:val="24"/>
          <w:lang w:val="en-AU"/>
        </w:rPr>
        <w:t>when welcoming</w:t>
      </w:r>
      <w:r w:rsidRPr="00164BE1">
        <w:rPr>
          <w:rFonts w:asciiTheme="majorHAnsi" w:hAnsiTheme="majorHAnsi" w:cstheme="majorHAnsi"/>
          <w:sz w:val="24"/>
          <w:szCs w:val="24"/>
          <w:lang w:val="en-AU"/>
        </w:rPr>
        <w:t xml:space="preserve"> guests, </w:t>
      </w:r>
      <w:r w:rsidR="000972FA">
        <w:rPr>
          <w:rFonts w:asciiTheme="majorHAnsi" w:hAnsiTheme="majorHAnsi" w:cstheme="majorHAnsi"/>
          <w:sz w:val="24"/>
          <w:szCs w:val="24"/>
          <w:lang w:val="en-AU"/>
        </w:rPr>
        <w:t xml:space="preserve">to </w:t>
      </w:r>
      <w:r w:rsidRPr="00164BE1">
        <w:rPr>
          <w:rFonts w:asciiTheme="majorHAnsi" w:hAnsiTheme="majorHAnsi" w:cstheme="majorHAnsi"/>
          <w:sz w:val="24"/>
          <w:szCs w:val="24"/>
          <w:lang w:val="en-AU"/>
        </w:rPr>
        <w:t>facilitate the development of business relationships, further public sector business outcomes and to celebrate achievements.</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When deciding whether to provide gifts, benefits or hospitality or the type of gift, benefit or hospitality to provide, individuals must ensure: </w:t>
      </w:r>
    </w:p>
    <w:p w:rsidR="00164BE1" w:rsidRPr="00164BE1" w:rsidRDefault="00164BE1" w:rsidP="002F5A11">
      <w:pPr>
        <w:pStyle w:val="BodyText"/>
        <w:numPr>
          <w:ilvl w:val="0"/>
          <w:numId w:val="8"/>
        </w:numPr>
        <w:spacing w:before="120"/>
        <w:ind w:hanging="720"/>
        <w:rPr>
          <w:rFonts w:asciiTheme="majorHAnsi" w:hAnsiTheme="majorHAnsi" w:cstheme="majorHAnsi"/>
          <w:sz w:val="24"/>
          <w:szCs w:val="24"/>
          <w:lang w:val="en-AU"/>
        </w:rPr>
      </w:pPr>
      <w:r w:rsidRPr="00164BE1">
        <w:rPr>
          <w:rFonts w:asciiTheme="majorHAnsi" w:hAnsiTheme="majorHAnsi" w:cstheme="majorHAnsi"/>
          <w:sz w:val="24"/>
          <w:szCs w:val="24"/>
          <w:lang w:val="en-AU"/>
        </w:rPr>
        <w:t>any gift, benefit or hospitality is provided for a business reason that furthers the conduct of official business or other legitimate organisational goals, or promotes and supports Gippsland Water or government policy objectives and priorities;</w:t>
      </w:r>
    </w:p>
    <w:p w:rsidR="00164BE1" w:rsidRPr="00164BE1" w:rsidRDefault="00164BE1" w:rsidP="002F5A11">
      <w:pPr>
        <w:pStyle w:val="BodyText"/>
        <w:numPr>
          <w:ilvl w:val="0"/>
          <w:numId w:val="8"/>
        </w:numPr>
        <w:spacing w:before="120"/>
        <w:ind w:hanging="7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that any costs are proportionate to the benefits obtained for Gippsland Water, and would be considered reasonable in terms of community expectations (the ‘HOST’ test at </w:t>
      </w:r>
      <w:r w:rsidR="000972FA">
        <w:rPr>
          <w:rFonts w:asciiTheme="majorHAnsi" w:hAnsiTheme="majorHAnsi" w:cstheme="majorHAnsi"/>
          <w:sz w:val="24"/>
          <w:szCs w:val="24"/>
          <w:lang w:val="en-AU"/>
        </w:rPr>
        <w:t>Figure</w:t>
      </w:r>
      <w:r w:rsidR="000972FA" w:rsidRPr="002F5A11">
        <w:rPr>
          <w:rFonts w:asciiTheme="majorHAnsi" w:hAnsiTheme="majorHAnsi" w:cstheme="majorHAnsi"/>
          <w:sz w:val="24"/>
          <w:szCs w:val="24"/>
          <w:lang w:val="en-AU"/>
        </w:rPr>
        <w:t> </w:t>
      </w:r>
      <w:r w:rsidRPr="002F5A11">
        <w:rPr>
          <w:rFonts w:asciiTheme="majorHAnsi" w:hAnsiTheme="majorHAnsi" w:cstheme="majorHAnsi"/>
          <w:sz w:val="24"/>
          <w:szCs w:val="24"/>
          <w:lang w:val="en-AU"/>
        </w:rPr>
        <w:t>2</w:t>
      </w:r>
      <w:r w:rsidRPr="00164BE1">
        <w:rPr>
          <w:rFonts w:asciiTheme="majorHAnsi" w:hAnsiTheme="majorHAnsi" w:cstheme="majorHAnsi"/>
          <w:sz w:val="24"/>
          <w:szCs w:val="24"/>
          <w:lang w:val="en-AU"/>
        </w:rPr>
        <w:t xml:space="preserve"> is a good reminder of what to think about in making this assessment); and</w:t>
      </w:r>
    </w:p>
    <w:p w:rsidR="00164BE1" w:rsidRPr="00164BE1" w:rsidRDefault="00164BE1" w:rsidP="002F5A11">
      <w:pPr>
        <w:pStyle w:val="BodyText"/>
        <w:numPr>
          <w:ilvl w:val="0"/>
          <w:numId w:val="8"/>
        </w:numPr>
        <w:spacing w:before="120"/>
        <w:ind w:hanging="720"/>
        <w:rPr>
          <w:rFonts w:asciiTheme="majorHAnsi" w:hAnsiTheme="majorHAnsi" w:cstheme="majorHAnsi"/>
          <w:sz w:val="24"/>
          <w:szCs w:val="24"/>
          <w:lang w:val="en-AU"/>
        </w:rPr>
      </w:pPr>
      <w:r w:rsidRPr="00164BE1">
        <w:rPr>
          <w:rFonts w:asciiTheme="majorHAnsi" w:hAnsiTheme="majorHAnsi" w:cstheme="majorHAnsi"/>
          <w:sz w:val="24"/>
          <w:szCs w:val="24"/>
          <w:lang w:val="en-AU"/>
        </w:rPr>
        <w:t>it does not raise an actual, potential or perceived conflict of interest.</w:t>
      </w:r>
    </w:p>
    <w:p w:rsidR="003059EC" w:rsidRPr="003C5F69" w:rsidRDefault="003059EC" w:rsidP="007E46CA">
      <w:pPr>
        <w:pStyle w:val="BodyText"/>
        <w:spacing w:before="120"/>
        <w:rPr>
          <w:rFonts w:asciiTheme="majorHAnsi" w:hAnsiTheme="majorHAnsi" w:cstheme="majorHAnsi"/>
          <w:sz w:val="24"/>
          <w:szCs w:val="24"/>
        </w:rPr>
      </w:pPr>
      <w:r w:rsidRPr="003C5F69">
        <w:rPr>
          <w:rFonts w:asciiTheme="majorHAnsi" w:hAnsiTheme="majorHAnsi" w:cstheme="majorHAnsi"/>
          <w:sz w:val="24"/>
          <w:szCs w:val="24"/>
        </w:rPr>
        <w:t>Any Board Director or employee who participates in the provision and/or acceptance of hospitality must demonstrate professional conduct at all times and will uphold his/her obligation to extend a duty of care to other participants.</w:t>
      </w:r>
    </w:p>
    <w:p w:rsidR="003059EC" w:rsidRPr="007E46CA" w:rsidRDefault="003059EC" w:rsidP="007E46CA">
      <w:pPr>
        <w:keepNext/>
        <w:spacing w:line="240" w:lineRule="auto"/>
        <w:rPr>
          <w:rFonts w:asciiTheme="majorHAnsi" w:hAnsiTheme="majorHAnsi" w:cstheme="majorHAnsi"/>
          <w:b/>
          <w:sz w:val="24"/>
          <w:szCs w:val="24"/>
        </w:rPr>
      </w:pPr>
      <w:r w:rsidRPr="007E46CA">
        <w:rPr>
          <w:rFonts w:asciiTheme="majorHAnsi" w:hAnsiTheme="majorHAnsi" w:cstheme="majorHAnsi"/>
          <w:b/>
          <w:sz w:val="24"/>
          <w:szCs w:val="24"/>
        </w:rPr>
        <w:t>Figure 2. HOST test</w:t>
      </w:r>
    </w:p>
    <w:tbl>
      <w:tblPr>
        <w:tblStyle w:val="TableGrid"/>
        <w:tblW w:w="5000" w:type="pct"/>
        <w:tblLook w:val="04A0" w:firstRow="1" w:lastRow="0" w:firstColumn="1" w:lastColumn="0" w:noHBand="0" w:noVBand="1"/>
      </w:tblPr>
      <w:tblGrid>
        <w:gridCol w:w="456"/>
        <w:gridCol w:w="1707"/>
        <w:gridCol w:w="8032"/>
      </w:tblGrid>
      <w:tr w:rsidR="003059EC" w:rsidRPr="00164BE1" w:rsidTr="0061324E">
        <w:trPr>
          <w:cantSplit/>
        </w:trPr>
        <w:tc>
          <w:tcPr>
            <w:tcW w:w="224"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3059EC" w:rsidRPr="00164BE1" w:rsidRDefault="003059EC" w:rsidP="0061324E">
            <w:pPr>
              <w:spacing w:line="240" w:lineRule="auto"/>
              <w:rPr>
                <w:rFonts w:asciiTheme="majorHAnsi" w:hAnsiTheme="majorHAnsi" w:cstheme="majorHAnsi"/>
                <w:b/>
                <w:i/>
                <w:iCs/>
                <w:sz w:val="24"/>
                <w:szCs w:val="24"/>
              </w:rPr>
            </w:pPr>
            <w:r w:rsidRPr="00164BE1">
              <w:rPr>
                <w:rFonts w:asciiTheme="majorHAnsi" w:hAnsiTheme="majorHAnsi" w:cstheme="majorHAnsi"/>
                <w:b/>
                <w:sz w:val="24"/>
                <w:szCs w:val="24"/>
              </w:rPr>
              <w:t>H</w:t>
            </w:r>
          </w:p>
        </w:tc>
        <w:tc>
          <w:tcPr>
            <w:tcW w:w="837"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3059EC" w:rsidRPr="00164BE1" w:rsidRDefault="003059EC" w:rsidP="0061324E">
            <w:pPr>
              <w:spacing w:line="240" w:lineRule="auto"/>
              <w:rPr>
                <w:rFonts w:asciiTheme="majorHAnsi" w:hAnsiTheme="majorHAnsi" w:cstheme="majorHAnsi"/>
                <w:b/>
                <w:sz w:val="24"/>
                <w:szCs w:val="24"/>
              </w:rPr>
            </w:pPr>
            <w:r w:rsidRPr="00164BE1">
              <w:rPr>
                <w:rFonts w:asciiTheme="majorHAnsi" w:hAnsiTheme="majorHAnsi" w:cstheme="majorHAnsi"/>
                <w:b/>
                <w:sz w:val="24"/>
                <w:szCs w:val="24"/>
              </w:rPr>
              <w:t>Hospitality</w:t>
            </w:r>
          </w:p>
        </w:tc>
        <w:tc>
          <w:tcPr>
            <w:tcW w:w="3939" w:type="pct"/>
            <w:tcBorders>
              <w:top w:val="single" w:sz="4" w:space="0" w:color="auto"/>
              <w:left w:val="single" w:sz="4" w:space="0" w:color="auto"/>
              <w:bottom w:val="single" w:sz="4" w:space="0" w:color="auto"/>
              <w:right w:val="single" w:sz="4" w:space="0" w:color="auto"/>
            </w:tcBorders>
            <w:hideMark/>
          </w:tcPr>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To whom is the gift or hospitality being provided?</w:t>
            </w:r>
          </w:p>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Will recipients be external business partners, or individuals of the host organisation?</w:t>
            </w:r>
          </w:p>
        </w:tc>
      </w:tr>
      <w:tr w:rsidR="003059EC" w:rsidRPr="00164BE1" w:rsidTr="0061324E">
        <w:trPr>
          <w:cantSplit/>
        </w:trPr>
        <w:tc>
          <w:tcPr>
            <w:tcW w:w="224"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3059EC" w:rsidRPr="00164BE1" w:rsidRDefault="003059EC" w:rsidP="0061324E">
            <w:pPr>
              <w:spacing w:line="240" w:lineRule="auto"/>
              <w:rPr>
                <w:rFonts w:asciiTheme="majorHAnsi" w:hAnsiTheme="majorHAnsi" w:cstheme="majorHAnsi"/>
                <w:b/>
                <w:i/>
                <w:iCs/>
                <w:sz w:val="24"/>
                <w:szCs w:val="24"/>
              </w:rPr>
            </w:pPr>
            <w:r w:rsidRPr="00164BE1">
              <w:rPr>
                <w:rFonts w:asciiTheme="majorHAnsi" w:hAnsiTheme="majorHAnsi" w:cstheme="majorHAnsi"/>
                <w:b/>
                <w:sz w:val="24"/>
                <w:szCs w:val="24"/>
              </w:rPr>
              <w:t>O</w:t>
            </w:r>
          </w:p>
        </w:tc>
        <w:tc>
          <w:tcPr>
            <w:tcW w:w="837"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3059EC" w:rsidRPr="00164BE1" w:rsidRDefault="003059EC" w:rsidP="0061324E">
            <w:pPr>
              <w:spacing w:line="240" w:lineRule="auto"/>
              <w:rPr>
                <w:rFonts w:asciiTheme="majorHAnsi" w:hAnsiTheme="majorHAnsi" w:cstheme="majorHAnsi"/>
                <w:b/>
                <w:sz w:val="24"/>
                <w:szCs w:val="24"/>
              </w:rPr>
            </w:pPr>
            <w:r w:rsidRPr="00164BE1">
              <w:rPr>
                <w:rFonts w:asciiTheme="majorHAnsi" w:hAnsiTheme="majorHAnsi" w:cstheme="majorHAnsi"/>
                <w:b/>
                <w:sz w:val="24"/>
                <w:szCs w:val="24"/>
              </w:rPr>
              <w:t>Objectives</w:t>
            </w:r>
          </w:p>
        </w:tc>
        <w:tc>
          <w:tcPr>
            <w:tcW w:w="3939" w:type="pct"/>
            <w:tcBorders>
              <w:top w:val="single" w:sz="4" w:space="0" w:color="auto"/>
              <w:left w:val="single" w:sz="4" w:space="0" w:color="auto"/>
              <w:bottom w:val="single" w:sz="4" w:space="0" w:color="auto"/>
              <w:right w:val="single" w:sz="4" w:space="0" w:color="auto"/>
            </w:tcBorders>
            <w:hideMark/>
          </w:tcPr>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For what purpose will hospitality be provided?</w:t>
            </w:r>
          </w:p>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Is the hospitality being provided to further the conduct of official business? Will it promote and support government policy objectives and priorities? Will it contribute to staff wellbeing and workplace satisfaction?</w:t>
            </w:r>
          </w:p>
        </w:tc>
      </w:tr>
      <w:tr w:rsidR="003059EC" w:rsidRPr="00164BE1" w:rsidTr="0061324E">
        <w:trPr>
          <w:cantSplit/>
        </w:trPr>
        <w:tc>
          <w:tcPr>
            <w:tcW w:w="224"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3059EC" w:rsidRPr="00164BE1" w:rsidRDefault="003059EC" w:rsidP="0061324E">
            <w:pPr>
              <w:spacing w:line="240" w:lineRule="auto"/>
              <w:rPr>
                <w:rFonts w:asciiTheme="majorHAnsi" w:hAnsiTheme="majorHAnsi" w:cstheme="majorHAnsi"/>
                <w:b/>
                <w:i/>
                <w:iCs/>
                <w:sz w:val="24"/>
                <w:szCs w:val="24"/>
              </w:rPr>
            </w:pPr>
            <w:r w:rsidRPr="00164BE1">
              <w:rPr>
                <w:rFonts w:asciiTheme="majorHAnsi" w:hAnsiTheme="majorHAnsi" w:cstheme="majorHAnsi"/>
                <w:b/>
                <w:sz w:val="24"/>
                <w:szCs w:val="24"/>
              </w:rPr>
              <w:t>S</w:t>
            </w:r>
          </w:p>
        </w:tc>
        <w:tc>
          <w:tcPr>
            <w:tcW w:w="837"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3059EC" w:rsidRPr="00164BE1" w:rsidRDefault="003059EC" w:rsidP="0061324E">
            <w:pPr>
              <w:spacing w:line="240" w:lineRule="auto"/>
              <w:rPr>
                <w:rFonts w:asciiTheme="majorHAnsi" w:hAnsiTheme="majorHAnsi" w:cstheme="majorHAnsi"/>
                <w:b/>
                <w:sz w:val="24"/>
                <w:szCs w:val="24"/>
              </w:rPr>
            </w:pPr>
            <w:r w:rsidRPr="00164BE1">
              <w:rPr>
                <w:rFonts w:asciiTheme="majorHAnsi" w:hAnsiTheme="majorHAnsi" w:cstheme="majorHAnsi"/>
                <w:b/>
                <w:sz w:val="24"/>
                <w:szCs w:val="24"/>
              </w:rPr>
              <w:t>Spend</w:t>
            </w:r>
          </w:p>
        </w:tc>
        <w:tc>
          <w:tcPr>
            <w:tcW w:w="3939" w:type="pct"/>
            <w:tcBorders>
              <w:top w:val="single" w:sz="4" w:space="0" w:color="auto"/>
              <w:left w:val="single" w:sz="4" w:space="0" w:color="auto"/>
              <w:bottom w:val="single" w:sz="4" w:space="0" w:color="auto"/>
              <w:right w:val="single" w:sz="4" w:space="0" w:color="auto"/>
            </w:tcBorders>
            <w:hideMark/>
          </w:tcPr>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Will public funds be spent?</w:t>
            </w:r>
          </w:p>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What type of hospitality will be provided? Will it be modest or expensive, and will alcohol be provided as a courtesy or an indulgence? Will the costs incurred be proportionate to the benefits obtained?</w:t>
            </w:r>
          </w:p>
        </w:tc>
      </w:tr>
      <w:tr w:rsidR="003059EC" w:rsidRPr="00164BE1" w:rsidTr="0061324E">
        <w:trPr>
          <w:cantSplit/>
        </w:trPr>
        <w:tc>
          <w:tcPr>
            <w:tcW w:w="224" w:type="pct"/>
            <w:tcBorders>
              <w:top w:val="single" w:sz="4" w:space="0" w:color="auto"/>
              <w:left w:val="single" w:sz="4" w:space="0" w:color="auto"/>
              <w:bottom w:val="single" w:sz="4" w:space="0" w:color="auto"/>
              <w:right w:val="single" w:sz="4" w:space="0" w:color="auto"/>
            </w:tcBorders>
            <w:shd w:val="clear" w:color="auto" w:fill="999999" w:themeFill="text2" w:themeFillTint="66"/>
            <w:vAlign w:val="center"/>
            <w:hideMark/>
          </w:tcPr>
          <w:p w:rsidR="003059EC" w:rsidRPr="00164BE1" w:rsidRDefault="003059EC" w:rsidP="0061324E">
            <w:pPr>
              <w:spacing w:line="240" w:lineRule="auto"/>
              <w:rPr>
                <w:rFonts w:asciiTheme="majorHAnsi" w:hAnsiTheme="majorHAnsi" w:cstheme="majorHAnsi"/>
                <w:b/>
                <w:i/>
                <w:iCs/>
                <w:sz w:val="24"/>
                <w:szCs w:val="24"/>
              </w:rPr>
            </w:pPr>
            <w:r w:rsidRPr="00164BE1">
              <w:rPr>
                <w:rFonts w:asciiTheme="majorHAnsi" w:hAnsiTheme="majorHAnsi" w:cstheme="majorHAnsi"/>
                <w:b/>
                <w:sz w:val="24"/>
                <w:szCs w:val="24"/>
              </w:rPr>
              <w:t>T</w:t>
            </w:r>
          </w:p>
        </w:tc>
        <w:tc>
          <w:tcPr>
            <w:tcW w:w="837" w:type="pct"/>
            <w:tcBorders>
              <w:top w:val="single" w:sz="4" w:space="0" w:color="auto"/>
              <w:left w:val="single" w:sz="4" w:space="0" w:color="auto"/>
              <w:bottom w:val="single" w:sz="4" w:space="0" w:color="auto"/>
              <w:right w:val="single" w:sz="4" w:space="0" w:color="auto"/>
            </w:tcBorders>
            <w:shd w:val="clear" w:color="auto" w:fill="B4D1EE" w:themeFill="accent6"/>
            <w:vAlign w:val="center"/>
            <w:hideMark/>
          </w:tcPr>
          <w:p w:rsidR="003059EC" w:rsidRPr="00164BE1" w:rsidRDefault="003059EC" w:rsidP="0061324E">
            <w:pPr>
              <w:spacing w:line="240" w:lineRule="auto"/>
              <w:rPr>
                <w:rFonts w:asciiTheme="majorHAnsi" w:hAnsiTheme="majorHAnsi" w:cstheme="majorHAnsi"/>
                <w:b/>
                <w:sz w:val="24"/>
                <w:szCs w:val="24"/>
              </w:rPr>
            </w:pPr>
            <w:r w:rsidRPr="00164BE1">
              <w:rPr>
                <w:rFonts w:asciiTheme="majorHAnsi" w:hAnsiTheme="majorHAnsi" w:cstheme="majorHAnsi"/>
                <w:b/>
                <w:sz w:val="24"/>
                <w:szCs w:val="24"/>
              </w:rPr>
              <w:t>Trust</w:t>
            </w:r>
          </w:p>
        </w:tc>
        <w:tc>
          <w:tcPr>
            <w:tcW w:w="3939" w:type="pct"/>
            <w:tcBorders>
              <w:top w:val="single" w:sz="4" w:space="0" w:color="auto"/>
              <w:left w:val="single" w:sz="4" w:space="0" w:color="auto"/>
              <w:bottom w:val="single" w:sz="4" w:space="0" w:color="auto"/>
              <w:right w:val="single" w:sz="4" w:space="0" w:color="auto"/>
            </w:tcBorders>
            <w:hideMark/>
          </w:tcPr>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Will public trust be enhanced or diminished?</w:t>
            </w:r>
          </w:p>
          <w:p w:rsidR="003059EC" w:rsidRPr="00164BE1" w:rsidRDefault="003059EC" w:rsidP="0061324E">
            <w:pPr>
              <w:spacing w:line="240" w:lineRule="auto"/>
              <w:rPr>
                <w:rFonts w:asciiTheme="majorHAnsi" w:hAnsiTheme="majorHAnsi" w:cstheme="majorHAnsi"/>
                <w:sz w:val="24"/>
                <w:szCs w:val="24"/>
              </w:rPr>
            </w:pPr>
            <w:r w:rsidRPr="00164BE1">
              <w:rPr>
                <w:rFonts w:asciiTheme="majorHAnsi" w:hAnsiTheme="majorHAnsi" w:cstheme="majorHAnsi"/>
                <w:sz w:val="24"/>
                <w:szCs w:val="24"/>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rsidR="00164BE1" w:rsidRPr="002F5A11" w:rsidRDefault="00164BE1" w:rsidP="00164BE1">
      <w:pPr>
        <w:pStyle w:val="Heading3"/>
        <w:rPr>
          <w:sz w:val="24"/>
        </w:rPr>
      </w:pPr>
      <w:r w:rsidRPr="002F5A11">
        <w:rPr>
          <w:sz w:val="24"/>
        </w:rPr>
        <w:t>Containing costs</w:t>
      </w:r>
    </w:p>
    <w:p w:rsidR="00164BE1" w:rsidRPr="00164BE1" w:rsidRDefault="00164BE1" w:rsidP="00164BE1">
      <w:pPr>
        <w:spacing w:line="240" w:lineRule="auto"/>
        <w:rPr>
          <w:rFonts w:asciiTheme="majorHAnsi" w:hAnsiTheme="majorHAnsi" w:cstheme="majorHAnsi"/>
          <w:sz w:val="24"/>
          <w:szCs w:val="24"/>
        </w:rPr>
      </w:pPr>
      <w:r w:rsidRPr="00164BE1">
        <w:rPr>
          <w:rFonts w:asciiTheme="majorHAnsi" w:hAnsiTheme="majorHAnsi" w:cstheme="majorHAnsi"/>
          <w:sz w:val="24"/>
          <w:szCs w:val="24"/>
        </w:rPr>
        <w:t xml:space="preserve">Individuals should contain costs involved </w:t>
      </w:r>
      <w:r w:rsidR="000972FA">
        <w:rPr>
          <w:rFonts w:asciiTheme="majorHAnsi" w:hAnsiTheme="majorHAnsi" w:cstheme="majorHAnsi"/>
          <w:sz w:val="24"/>
          <w:szCs w:val="24"/>
        </w:rPr>
        <w:t>with providing</w:t>
      </w:r>
      <w:r w:rsidRPr="00164BE1">
        <w:rPr>
          <w:rFonts w:asciiTheme="majorHAnsi" w:hAnsiTheme="majorHAnsi" w:cstheme="majorHAnsi"/>
          <w:sz w:val="24"/>
          <w:szCs w:val="24"/>
        </w:rPr>
        <w:t xml:space="preserve"> gifts, benefits and hospitality wherever possible</w:t>
      </w:r>
      <w:r w:rsidR="00453FFD">
        <w:rPr>
          <w:rFonts w:asciiTheme="majorHAnsi" w:hAnsiTheme="majorHAnsi" w:cstheme="majorHAnsi"/>
          <w:sz w:val="24"/>
          <w:szCs w:val="24"/>
        </w:rPr>
        <w:t xml:space="preserve"> and should comply with the financial probity and efficient use of resources guidance outlined in the Code of Conduct for Victorian Public Sector Employees</w:t>
      </w:r>
      <w:r w:rsidRPr="00164BE1">
        <w:rPr>
          <w:rFonts w:asciiTheme="majorHAnsi" w:hAnsiTheme="majorHAnsi" w:cstheme="majorHAnsi"/>
          <w:sz w:val="24"/>
          <w:szCs w:val="24"/>
        </w:rPr>
        <w:t>. The following questions may be useful to assist individuals to decide the type of gift, benefit or hospitality to provide:</w:t>
      </w:r>
    </w:p>
    <w:p w:rsidR="00164BE1" w:rsidRPr="004C206E" w:rsidRDefault="00164BE1" w:rsidP="00A12B25">
      <w:pPr>
        <w:pStyle w:val="BodyText"/>
        <w:numPr>
          <w:ilvl w:val="0"/>
          <w:numId w:val="8"/>
        </w:numPr>
        <w:spacing w:before="120"/>
        <w:ind w:hanging="720"/>
        <w:rPr>
          <w:rFonts w:asciiTheme="majorHAnsi" w:hAnsiTheme="majorHAnsi" w:cstheme="majorHAnsi"/>
          <w:sz w:val="24"/>
          <w:szCs w:val="24"/>
        </w:rPr>
      </w:pPr>
      <w:r w:rsidRPr="00A12B25">
        <w:rPr>
          <w:rFonts w:asciiTheme="majorHAnsi" w:hAnsiTheme="majorHAnsi" w:cstheme="majorHAnsi"/>
          <w:sz w:val="24"/>
          <w:szCs w:val="24"/>
          <w:lang w:val="en-AU"/>
        </w:rPr>
        <w:t>Will the cost of providing the gift, benefit or hospitality be proportionate to the potential benefits?</w:t>
      </w:r>
    </w:p>
    <w:p w:rsidR="00164BE1" w:rsidRPr="004C206E" w:rsidRDefault="00164BE1" w:rsidP="00A12B25">
      <w:pPr>
        <w:pStyle w:val="BodyText"/>
        <w:numPr>
          <w:ilvl w:val="0"/>
          <w:numId w:val="8"/>
        </w:numPr>
        <w:spacing w:before="120"/>
        <w:ind w:hanging="720"/>
        <w:rPr>
          <w:rFonts w:asciiTheme="majorHAnsi" w:hAnsiTheme="majorHAnsi" w:cstheme="majorHAnsi"/>
          <w:sz w:val="24"/>
          <w:szCs w:val="24"/>
        </w:rPr>
      </w:pPr>
      <w:r w:rsidRPr="002F5A11">
        <w:rPr>
          <w:rFonts w:asciiTheme="majorHAnsi" w:hAnsiTheme="majorHAnsi" w:cstheme="majorHAnsi"/>
          <w:sz w:val="24"/>
          <w:szCs w:val="24"/>
          <w:lang w:val="en-AU"/>
        </w:rPr>
        <w:t xml:space="preserve">Is an external venue necessary or does the organisation have facilities to host the event? </w:t>
      </w:r>
    </w:p>
    <w:p w:rsidR="00164BE1" w:rsidRPr="004C206E" w:rsidRDefault="00164BE1" w:rsidP="00A12B25">
      <w:pPr>
        <w:pStyle w:val="BodyText"/>
        <w:numPr>
          <w:ilvl w:val="0"/>
          <w:numId w:val="8"/>
        </w:numPr>
        <w:spacing w:before="120"/>
        <w:ind w:hanging="720"/>
        <w:rPr>
          <w:rFonts w:asciiTheme="majorHAnsi" w:hAnsiTheme="majorHAnsi" w:cstheme="majorHAnsi"/>
          <w:sz w:val="24"/>
          <w:szCs w:val="24"/>
        </w:rPr>
      </w:pPr>
      <w:r w:rsidRPr="002F5A11">
        <w:rPr>
          <w:rFonts w:asciiTheme="majorHAnsi" w:hAnsiTheme="majorHAnsi" w:cstheme="majorHAnsi"/>
          <w:sz w:val="24"/>
          <w:szCs w:val="24"/>
          <w:lang w:val="en-AU"/>
        </w:rPr>
        <w:t>Is the proposed catering or hospitality proportionate to the number of attendees?</w:t>
      </w:r>
    </w:p>
    <w:p w:rsidR="00164BE1" w:rsidRDefault="00164BE1" w:rsidP="00A12B25">
      <w:pPr>
        <w:pStyle w:val="BodyText"/>
        <w:numPr>
          <w:ilvl w:val="0"/>
          <w:numId w:val="8"/>
        </w:numPr>
        <w:spacing w:before="120"/>
        <w:ind w:hanging="720"/>
        <w:rPr>
          <w:rFonts w:asciiTheme="majorHAnsi" w:hAnsiTheme="majorHAnsi" w:cstheme="majorHAnsi"/>
          <w:sz w:val="24"/>
          <w:szCs w:val="24"/>
        </w:rPr>
      </w:pPr>
      <w:r w:rsidRPr="002F5A11">
        <w:rPr>
          <w:rFonts w:asciiTheme="majorHAnsi" w:hAnsiTheme="majorHAnsi" w:cstheme="majorHAnsi"/>
          <w:sz w:val="24"/>
          <w:szCs w:val="24"/>
          <w:lang w:val="en-AU"/>
        </w:rPr>
        <w:t>Does the size of the event and number of attendees align with intended outcomes?</w:t>
      </w:r>
    </w:p>
    <w:p w:rsidR="00453FFD" w:rsidRPr="004C206E" w:rsidRDefault="00453FFD" w:rsidP="00A12B25">
      <w:pPr>
        <w:pStyle w:val="BodyText"/>
        <w:numPr>
          <w:ilvl w:val="0"/>
          <w:numId w:val="8"/>
        </w:numPr>
        <w:spacing w:before="120"/>
        <w:ind w:hanging="720"/>
        <w:rPr>
          <w:rFonts w:asciiTheme="majorHAnsi" w:hAnsiTheme="majorHAnsi" w:cstheme="majorHAnsi"/>
          <w:sz w:val="24"/>
          <w:szCs w:val="24"/>
        </w:rPr>
      </w:pPr>
      <w:r>
        <w:rPr>
          <w:rFonts w:asciiTheme="majorHAnsi" w:hAnsiTheme="majorHAnsi" w:cstheme="majorHAnsi"/>
          <w:sz w:val="24"/>
          <w:szCs w:val="24"/>
          <w:lang w:val="en-AU"/>
        </w:rPr>
        <w:t>Is the gift symbolic, rather than financial, in value?</w:t>
      </w:r>
    </w:p>
    <w:p w:rsidR="00164BE1" w:rsidRPr="004C206E" w:rsidRDefault="00164BE1" w:rsidP="00A12B25">
      <w:pPr>
        <w:pStyle w:val="BodyText"/>
        <w:numPr>
          <w:ilvl w:val="0"/>
          <w:numId w:val="8"/>
        </w:numPr>
        <w:spacing w:before="120"/>
        <w:ind w:hanging="720"/>
        <w:rPr>
          <w:rFonts w:asciiTheme="majorHAnsi" w:hAnsiTheme="majorHAnsi" w:cstheme="majorHAnsi"/>
          <w:sz w:val="24"/>
          <w:szCs w:val="24"/>
        </w:rPr>
      </w:pPr>
      <w:r w:rsidRPr="002F5A11">
        <w:rPr>
          <w:rFonts w:asciiTheme="majorHAnsi" w:hAnsiTheme="majorHAnsi" w:cstheme="majorHAnsi"/>
          <w:sz w:val="24"/>
          <w:szCs w:val="24"/>
          <w:lang w:val="en-AU"/>
        </w:rPr>
        <w:t>Will providing the gift, benefit or hospitality be viewed by the public as excessive?</w:t>
      </w:r>
    </w:p>
    <w:p w:rsidR="00164BE1" w:rsidRPr="004C206E" w:rsidRDefault="00164BE1" w:rsidP="00A12B25">
      <w:pPr>
        <w:pStyle w:val="BodyText"/>
        <w:numPr>
          <w:ilvl w:val="0"/>
          <w:numId w:val="8"/>
        </w:numPr>
        <w:spacing w:before="120"/>
        <w:ind w:hanging="720"/>
        <w:rPr>
          <w:rFonts w:asciiTheme="majorHAnsi" w:hAnsiTheme="majorHAnsi" w:cstheme="majorHAnsi"/>
          <w:sz w:val="24"/>
          <w:szCs w:val="24"/>
        </w:rPr>
      </w:pPr>
      <w:r w:rsidRPr="002F5A11">
        <w:rPr>
          <w:rFonts w:asciiTheme="majorHAnsi" w:hAnsiTheme="majorHAnsi" w:cstheme="majorHAnsi"/>
          <w:sz w:val="24"/>
          <w:szCs w:val="24"/>
          <w:lang w:val="en-AU"/>
        </w:rPr>
        <w:t>Has there been multiple recent events that could result in the perception of excess should further events be funded?</w:t>
      </w:r>
    </w:p>
    <w:p w:rsidR="00D847DB" w:rsidRPr="00044176" w:rsidRDefault="00044176" w:rsidP="007E46CA">
      <w:pPr>
        <w:pStyle w:val="Heading3"/>
        <w:rPr>
          <w:sz w:val="24"/>
        </w:rPr>
      </w:pPr>
      <w:r>
        <w:rPr>
          <w:sz w:val="24"/>
        </w:rPr>
        <w:t>Provision of Gifts</w:t>
      </w:r>
    </w:p>
    <w:p w:rsidR="00044176" w:rsidRDefault="00D847DB" w:rsidP="00044176">
      <w:pPr>
        <w:pStyle w:val="BodyText"/>
        <w:spacing w:before="120"/>
        <w:rPr>
          <w:rFonts w:asciiTheme="majorHAnsi" w:hAnsiTheme="majorHAnsi" w:cstheme="majorHAnsi"/>
          <w:sz w:val="24"/>
          <w:szCs w:val="24"/>
        </w:rPr>
      </w:pPr>
      <w:r w:rsidRPr="00044176">
        <w:rPr>
          <w:rFonts w:asciiTheme="majorHAnsi" w:hAnsiTheme="majorHAnsi" w:cstheme="majorHAnsi"/>
          <w:sz w:val="24"/>
          <w:szCs w:val="24"/>
        </w:rPr>
        <w:t xml:space="preserve">Modest gifts may </w:t>
      </w:r>
      <w:r w:rsidR="00044176">
        <w:rPr>
          <w:rFonts w:asciiTheme="majorHAnsi" w:hAnsiTheme="majorHAnsi" w:cstheme="majorHAnsi"/>
          <w:sz w:val="24"/>
          <w:szCs w:val="24"/>
        </w:rPr>
        <w:t xml:space="preserve">only </w:t>
      </w:r>
      <w:r w:rsidRPr="00044176">
        <w:rPr>
          <w:rFonts w:asciiTheme="majorHAnsi" w:hAnsiTheme="majorHAnsi" w:cstheme="majorHAnsi"/>
          <w:sz w:val="24"/>
          <w:szCs w:val="24"/>
        </w:rPr>
        <w:t xml:space="preserve">be provided to employees in </w:t>
      </w:r>
      <w:r w:rsidR="00044176">
        <w:rPr>
          <w:rFonts w:asciiTheme="majorHAnsi" w:hAnsiTheme="majorHAnsi" w:cstheme="majorHAnsi"/>
          <w:sz w:val="24"/>
          <w:szCs w:val="24"/>
        </w:rPr>
        <w:t xml:space="preserve">accordance with Gippsland Water’s </w:t>
      </w:r>
      <w:r w:rsidR="00044176" w:rsidRPr="007E46CA">
        <w:rPr>
          <w:rFonts w:asciiTheme="majorHAnsi" w:hAnsiTheme="majorHAnsi" w:cstheme="majorHAnsi"/>
          <w:i/>
          <w:sz w:val="24"/>
          <w:szCs w:val="24"/>
        </w:rPr>
        <w:t>Reward and Recognition Framework</w:t>
      </w:r>
      <w:r w:rsidRPr="00044176">
        <w:rPr>
          <w:rFonts w:asciiTheme="majorHAnsi" w:hAnsiTheme="majorHAnsi" w:cstheme="majorHAnsi"/>
          <w:sz w:val="24"/>
          <w:szCs w:val="24"/>
        </w:rPr>
        <w:t xml:space="preserve">. </w:t>
      </w:r>
    </w:p>
    <w:p w:rsidR="00044176" w:rsidRDefault="00044176" w:rsidP="00044176">
      <w:pPr>
        <w:pStyle w:val="BodyText"/>
        <w:spacing w:before="120"/>
        <w:rPr>
          <w:rFonts w:asciiTheme="majorHAnsi" w:hAnsiTheme="majorHAnsi" w:cstheme="majorHAnsi"/>
          <w:sz w:val="24"/>
          <w:szCs w:val="24"/>
        </w:rPr>
      </w:pPr>
      <w:r>
        <w:rPr>
          <w:rFonts w:asciiTheme="majorHAnsi" w:hAnsiTheme="majorHAnsi" w:cstheme="majorHAnsi"/>
          <w:sz w:val="24"/>
          <w:szCs w:val="24"/>
        </w:rPr>
        <w:t>A</w:t>
      </w:r>
      <w:r w:rsidRPr="00044176">
        <w:rPr>
          <w:rFonts w:asciiTheme="majorHAnsi" w:hAnsiTheme="majorHAnsi" w:cstheme="majorHAnsi"/>
          <w:sz w:val="24"/>
          <w:szCs w:val="24"/>
        </w:rPr>
        <w:t xml:space="preserve"> nominal limit of $150 </w:t>
      </w:r>
      <w:r>
        <w:rPr>
          <w:rFonts w:asciiTheme="majorHAnsi" w:hAnsiTheme="majorHAnsi" w:cstheme="majorHAnsi"/>
          <w:sz w:val="24"/>
          <w:szCs w:val="24"/>
        </w:rPr>
        <w:t xml:space="preserve">is set </w:t>
      </w:r>
      <w:r w:rsidRPr="00044176">
        <w:rPr>
          <w:rFonts w:asciiTheme="majorHAnsi" w:hAnsiTheme="majorHAnsi" w:cstheme="majorHAnsi"/>
          <w:sz w:val="24"/>
          <w:szCs w:val="24"/>
        </w:rPr>
        <w:t xml:space="preserve">for the maximum expenditure on gifts to others, where the expenditure has not been explicitly budgeted for. This nominal limit is a total for a discrete, unbudgeted gift. It is not per person or an annual total. </w:t>
      </w:r>
    </w:p>
    <w:p w:rsidR="00044176" w:rsidRDefault="00044176" w:rsidP="00044176">
      <w:pPr>
        <w:pStyle w:val="BodyText"/>
        <w:spacing w:before="120"/>
        <w:rPr>
          <w:rFonts w:asciiTheme="majorHAnsi" w:hAnsiTheme="majorHAnsi" w:cstheme="majorHAnsi"/>
          <w:sz w:val="24"/>
          <w:szCs w:val="24"/>
        </w:rPr>
      </w:pPr>
      <w:r w:rsidRPr="00044176">
        <w:rPr>
          <w:rFonts w:asciiTheme="majorHAnsi" w:hAnsiTheme="majorHAnsi" w:cstheme="majorHAnsi"/>
          <w:sz w:val="24"/>
          <w:szCs w:val="24"/>
        </w:rPr>
        <w:t xml:space="preserve">Flowers </w:t>
      </w:r>
      <w:r>
        <w:rPr>
          <w:rFonts w:asciiTheme="majorHAnsi" w:hAnsiTheme="majorHAnsi" w:cstheme="majorHAnsi"/>
          <w:sz w:val="24"/>
          <w:szCs w:val="24"/>
        </w:rPr>
        <w:t>may</w:t>
      </w:r>
      <w:r w:rsidRPr="00044176">
        <w:rPr>
          <w:rFonts w:asciiTheme="majorHAnsi" w:hAnsiTheme="majorHAnsi" w:cstheme="majorHAnsi"/>
          <w:sz w:val="24"/>
          <w:szCs w:val="24"/>
        </w:rPr>
        <w:t xml:space="preserve"> be purchased from public funds in the event of the death of an employee or close family member. </w:t>
      </w:r>
    </w:p>
    <w:p w:rsidR="00044176" w:rsidRPr="00044176" w:rsidRDefault="00044176" w:rsidP="00044176">
      <w:pPr>
        <w:pStyle w:val="BodyText"/>
        <w:spacing w:before="120"/>
        <w:rPr>
          <w:rFonts w:asciiTheme="majorHAnsi" w:hAnsiTheme="majorHAnsi" w:cstheme="majorHAnsi"/>
          <w:sz w:val="24"/>
          <w:szCs w:val="24"/>
        </w:rPr>
      </w:pPr>
      <w:r w:rsidRPr="00044176">
        <w:rPr>
          <w:rFonts w:asciiTheme="majorHAnsi" w:hAnsiTheme="majorHAnsi" w:cstheme="majorHAnsi"/>
          <w:sz w:val="24"/>
          <w:szCs w:val="24"/>
        </w:rPr>
        <w:t>Should work colleagues choose to recognise life events such as the birth of a child</w:t>
      </w:r>
      <w:r>
        <w:rPr>
          <w:rFonts w:asciiTheme="majorHAnsi" w:hAnsiTheme="majorHAnsi" w:cstheme="majorHAnsi"/>
          <w:sz w:val="24"/>
          <w:szCs w:val="24"/>
        </w:rPr>
        <w:t>,</w:t>
      </w:r>
      <w:r w:rsidRPr="00044176">
        <w:rPr>
          <w:rFonts w:asciiTheme="majorHAnsi" w:hAnsiTheme="majorHAnsi" w:cstheme="majorHAnsi"/>
          <w:sz w:val="24"/>
          <w:szCs w:val="24"/>
        </w:rPr>
        <w:t xml:space="preserve"> flowers and gifts </w:t>
      </w:r>
      <w:r>
        <w:rPr>
          <w:rFonts w:asciiTheme="majorHAnsi" w:hAnsiTheme="majorHAnsi" w:cstheme="majorHAnsi"/>
          <w:sz w:val="24"/>
          <w:szCs w:val="24"/>
        </w:rPr>
        <w:t xml:space="preserve">may be </w:t>
      </w:r>
      <w:r w:rsidRPr="00044176">
        <w:rPr>
          <w:rFonts w:asciiTheme="majorHAnsi" w:hAnsiTheme="majorHAnsi" w:cstheme="majorHAnsi"/>
          <w:sz w:val="24"/>
          <w:szCs w:val="24"/>
        </w:rPr>
        <w:t>funded through staff collections.</w:t>
      </w:r>
    </w:p>
    <w:p w:rsidR="00044176" w:rsidRPr="00044176" w:rsidRDefault="00044176" w:rsidP="00044176">
      <w:pPr>
        <w:pStyle w:val="Heading3"/>
        <w:rPr>
          <w:sz w:val="24"/>
        </w:rPr>
      </w:pPr>
      <w:r w:rsidRPr="00044176">
        <w:rPr>
          <w:sz w:val="24"/>
        </w:rPr>
        <w:t>Provision of Hospitality – External Events</w:t>
      </w:r>
    </w:p>
    <w:p w:rsidR="00D847DB" w:rsidRPr="00044176" w:rsidRDefault="00D847DB" w:rsidP="00044176">
      <w:pPr>
        <w:pStyle w:val="BodyText"/>
        <w:spacing w:before="120"/>
        <w:rPr>
          <w:rFonts w:asciiTheme="majorHAnsi" w:hAnsiTheme="majorHAnsi" w:cstheme="majorHAnsi"/>
          <w:sz w:val="24"/>
          <w:szCs w:val="24"/>
        </w:rPr>
      </w:pPr>
      <w:r w:rsidRPr="00044176">
        <w:rPr>
          <w:rFonts w:asciiTheme="majorHAnsi" w:hAnsiTheme="majorHAnsi" w:cstheme="majorHAnsi"/>
          <w:sz w:val="24"/>
          <w:szCs w:val="24"/>
        </w:rPr>
        <w:t>Catering is provided at functions for external guests subject to the following criteria:</w:t>
      </w:r>
    </w:p>
    <w:p w:rsidR="00D847DB" w:rsidRPr="00044176" w:rsidRDefault="0077442B" w:rsidP="00044176">
      <w:pPr>
        <w:pStyle w:val="BodyText"/>
        <w:numPr>
          <w:ilvl w:val="0"/>
          <w:numId w:val="26"/>
        </w:numPr>
        <w:spacing w:before="120"/>
        <w:rPr>
          <w:rFonts w:asciiTheme="majorHAnsi" w:hAnsiTheme="majorHAnsi" w:cstheme="majorHAnsi"/>
          <w:sz w:val="24"/>
          <w:szCs w:val="24"/>
        </w:rPr>
      </w:pPr>
      <w:r>
        <w:rPr>
          <w:rFonts w:asciiTheme="majorHAnsi" w:hAnsiTheme="majorHAnsi" w:cstheme="majorHAnsi"/>
          <w:sz w:val="24"/>
          <w:szCs w:val="24"/>
        </w:rPr>
        <w:t>there is a real benefit to Gippsland Water,</w:t>
      </w:r>
    </w:p>
    <w:p w:rsidR="00D847DB" w:rsidRPr="00044176" w:rsidRDefault="00D847DB" w:rsidP="00044176">
      <w:pPr>
        <w:pStyle w:val="BodyText"/>
        <w:numPr>
          <w:ilvl w:val="0"/>
          <w:numId w:val="26"/>
        </w:numPr>
        <w:spacing w:before="120"/>
        <w:rPr>
          <w:rFonts w:asciiTheme="majorHAnsi" w:hAnsiTheme="majorHAnsi" w:cstheme="majorHAnsi"/>
          <w:sz w:val="24"/>
          <w:szCs w:val="24"/>
        </w:rPr>
      </w:pPr>
      <w:r w:rsidRPr="00044176">
        <w:rPr>
          <w:rFonts w:asciiTheme="majorHAnsi" w:hAnsiTheme="majorHAnsi" w:cstheme="majorHAnsi"/>
          <w:sz w:val="24"/>
          <w:szCs w:val="24"/>
        </w:rPr>
        <w:t>the expenditure is modest and proportionate to the benefit,</w:t>
      </w:r>
    </w:p>
    <w:p w:rsidR="00D847DB" w:rsidRPr="00044176" w:rsidRDefault="00D847DB" w:rsidP="00044176">
      <w:pPr>
        <w:pStyle w:val="BodyText"/>
        <w:numPr>
          <w:ilvl w:val="0"/>
          <w:numId w:val="26"/>
        </w:numPr>
        <w:spacing w:before="120"/>
        <w:rPr>
          <w:rFonts w:asciiTheme="majorHAnsi" w:hAnsiTheme="majorHAnsi" w:cstheme="majorHAnsi"/>
          <w:sz w:val="24"/>
          <w:szCs w:val="24"/>
        </w:rPr>
      </w:pPr>
      <w:r w:rsidRPr="00044176">
        <w:rPr>
          <w:rFonts w:asciiTheme="majorHAnsi" w:hAnsiTheme="majorHAnsi" w:cstheme="majorHAnsi"/>
          <w:sz w:val="24"/>
          <w:szCs w:val="24"/>
        </w:rPr>
        <w:t>it is not excessive,</w:t>
      </w:r>
    </w:p>
    <w:p w:rsidR="00D847DB" w:rsidRPr="00044176" w:rsidRDefault="00D847DB" w:rsidP="00044176">
      <w:pPr>
        <w:pStyle w:val="BodyText"/>
        <w:numPr>
          <w:ilvl w:val="0"/>
          <w:numId w:val="26"/>
        </w:numPr>
        <w:spacing w:before="120"/>
        <w:rPr>
          <w:rFonts w:asciiTheme="majorHAnsi" w:hAnsiTheme="majorHAnsi" w:cstheme="majorHAnsi"/>
          <w:sz w:val="24"/>
          <w:szCs w:val="24"/>
        </w:rPr>
      </w:pPr>
      <w:r w:rsidRPr="00044176">
        <w:rPr>
          <w:rFonts w:asciiTheme="majorHAnsi" w:hAnsiTheme="majorHAnsi" w:cstheme="majorHAnsi"/>
          <w:sz w:val="24"/>
          <w:szCs w:val="24"/>
        </w:rPr>
        <w:t>it is not too frequent, and</w:t>
      </w:r>
    </w:p>
    <w:p w:rsidR="00D847DB" w:rsidRPr="00044176" w:rsidRDefault="0077442B" w:rsidP="00044176">
      <w:pPr>
        <w:pStyle w:val="BodyText"/>
        <w:numPr>
          <w:ilvl w:val="0"/>
          <w:numId w:val="26"/>
        </w:numPr>
        <w:spacing w:before="120"/>
        <w:rPr>
          <w:rFonts w:asciiTheme="majorHAnsi" w:hAnsiTheme="majorHAnsi" w:cstheme="majorHAnsi"/>
          <w:sz w:val="24"/>
          <w:szCs w:val="24"/>
        </w:rPr>
      </w:pPr>
      <w:r>
        <w:rPr>
          <w:rFonts w:asciiTheme="majorHAnsi" w:hAnsiTheme="majorHAnsi" w:cstheme="majorHAnsi"/>
          <w:sz w:val="24"/>
          <w:szCs w:val="24"/>
        </w:rPr>
        <w:t>i</w:t>
      </w:r>
      <w:r w:rsidRPr="00044176">
        <w:rPr>
          <w:rFonts w:asciiTheme="majorHAnsi" w:hAnsiTheme="majorHAnsi" w:cstheme="majorHAnsi"/>
          <w:sz w:val="24"/>
          <w:szCs w:val="24"/>
        </w:rPr>
        <w:t>t</w:t>
      </w:r>
      <w:r w:rsidR="00D847DB" w:rsidRPr="00044176">
        <w:rPr>
          <w:rFonts w:asciiTheme="majorHAnsi" w:hAnsiTheme="majorHAnsi" w:cstheme="majorHAnsi"/>
          <w:sz w:val="24"/>
          <w:szCs w:val="24"/>
        </w:rPr>
        <w:t xml:space="preserve"> is consistent with community expectations.</w:t>
      </w:r>
    </w:p>
    <w:p w:rsidR="00044176" w:rsidRPr="00044176" w:rsidRDefault="00044176" w:rsidP="00044176">
      <w:pPr>
        <w:pStyle w:val="Heading3"/>
        <w:rPr>
          <w:sz w:val="24"/>
        </w:rPr>
      </w:pPr>
      <w:r w:rsidRPr="00044176">
        <w:rPr>
          <w:sz w:val="24"/>
        </w:rPr>
        <w:t>Provision of Hospitality – Internal Events</w:t>
      </w:r>
      <w:r w:rsidR="00CE4DFB">
        <w:rPr>
          <w:sz w:val="24"/>
        </w:rPr>
        <w:t xml:space="preserve"> and Meetings</w:t>
      </w:r>
    </w:p>
    <w:p w:rsidR="00044176" w:rsidRPr="00044176" w:rsidRDefault="00044176" w:rsidP="00CE4DFB">
      <w:pPr>
        <w:pStyle w:val="TableTextLeft"/>
        <w:ind w:left="0"/>
        <w:rPr>
          <w:rFonts w:asciiTheme="majorHAnsi" w:hAnsiTheme="majorHAnsi" w:cstheme="majorHAnsi"/>
          <w:color w:val="auto"/>
          <w:sz w:val="24"/>
          <w:szCs w:val="24"/>
          <w:lang w:val="en-US" w:eastAsia="en-US"/>
        </w:rPr>
      </w:pPr>
      <w:r w:rsidRPr="00044176">
        <w:rPr>
          <w:rFonts w:asciiTheme="majorHAnsi" w:hAnsiTheme="majorHAnsi" w:cstheme="majorHAnsi"/>
          <w:color w:val="auto"/>
          <w:sz w:val="24"/>
          <w:szCs w:val="24"/>
          <w:lang w:val="en-US" w:eastAsia="en-US"/>
        </w:rPr>
        <w:t xml:space="preserve">Modest catering for </w:t>
      </w:r>
      <w:r w:rsidR="00CE4DFB">
        <w:rPr>
          <w:rFonts w:asciiTheme="majorHAnsi" w:hAnsiTheme="majorHAnsi" w:cstheme="majorHAnsi"/>
          <w:color w:val="auto"/>
          <w:sz w:val="24"/>
          <w:szCs w:val="24"/>
          <w:lang w:val="en-US" w:eastAsia="en-US"/>
        </w:rPr>
        <w:t>internal</w:t>
      </w:r>
      <w:r w:rsidRPr="00044176">
        <w:rPr>
          <w:rFonts w:asciiTheme="majorHAnsi" w:hAnsiTheme="majorHAnsi" w:cstheme="majorHAnsi"/>
          <w:color w:val="auto"/>
          <w:sz w:val="24"/>
          <w:szCs w:val="24"/>
          <w:lang w:val="en-US" w:eastAsia="en-US"/>
        </w:rPr>
        <w:t xml:space="preserve"> events</w:t>
      </w:r>
      <w:r>
        <w:rPr>
          <w:rFonts w:asciiTheme="majorHAnsi" w:hAnsiTheme="majorHAnsi" w:cstheme="majorHAnsi"/>
          <w:color w:val="auto"/>
          <w:sz w:val="24"/>
          <w:szCs w:val="24"/>
          <w:lang w:val="en-US" w:eastAsia="en-US"/>
        </w:rPr>
        <w:t xml:space="preserve"> and meetings is based on</w:t>
      </w:r>
      <w:r w:rsidRPr="00044176">
        <w:rPr>
          <w:rFonts w:asciiTheme="majorHAnsi" w:hAnsiTheme="majorHAnsi" w:cstheme="majorHAnsi"/>
          <w:color w:val="auto"/>
          <w:sz w:val="24"/>
          <w:szCs w:val="24"/>
          <w:lang w:val="en-US" w:eastAsia="en-US"/>
        </w:rPr>
        <w:t xml:space="preserve"> the </w:t>
      </w:r>
      <w:r w:rsidR="003059EC">
        <w:rPr>
          <w:rFonts w:asciiTheme="majorHAnsi" w:hAnsiTheme="majorHAnsi" w:cstheme="majorHAnsi"/>
          <w:color w:val="auto"/>
          <w:sz w:val="24"/>
          <w:szCs w:val="24"/>
          <w:lang w:val="en-US" w:eastAsia="en-US"/>
        </w:rPr>
        <w:t xml:space="preserve">additional </w:t>
      </w:r>
      <w:r w:rsidRPr="00044176">
        <w:rPr>
          <w:rFonts w:asciiTheme="majorHAnsi" w:hAnsiTheme="majorHAnsi" w:cstheme="majorHAnsi"/>
          <w:color w:val="auto"/>
          <w:sz w:val="24"/>
          <w:szCs w:val="24"/>
          <w:lang w:val="en-US" w:eastAsia="en-US"/>
        </w:rPr>
        <w:t>following considerations:</w:t>
      </w:r>
    </w:p>
    <w:p w:rsidR="00044176" w:rsidRPr="00044176" w:rsidRDefault="00044176" w:rsidP="00044176">
      <w:pPr>
        <w:pStyle w:val="BodyText"/>
        <w:numPr>
          <w:ilvl w:val="0"/>
          <w:numId w:val="26"/>
        </w:numPr>
        <w:spacing w:before="120"/>
        <w:rPr>
          <w:rFonts w:asciiTheme="majorHAnsi" w:hAnsiTheme="majorHAnsi" w:cstheme="majorHAnsi"/>
          <w:sz w:val="24"/>
          <w:szCs w:val="24"/>
        </w:rPr>
      </w:pPr>
      <w:r w:rsidRPr="00044176">
        <w:rPr>
          <w:rFonts w:asciiTheme="majorHAnsi" w:hAnsiTheme="majorHAnsi" w:cstheme="majorHAnsi"/>
          <w:sz w:val="24"/>
          <w:szCs w:val="24"/>
        </w:rPr>
        <w:t>the extent to which the event will contribute to organisational objectives by, for example, reinforcing particular values or motivating staff</w:t>
      </w:r>
      <w:r w:rsidR="00CE4DFB">
        <w:rPr>
          <w:rFonts w:asciiTheme="majorHAnsi" w:hAnsiTheme="majorHAnsi" w:cstheme="majorHAnsi"/>
          <w:sz w:val="24"/>
          <w:szCs w:val="24"/>
        </w:rPr>
        <w:t>,</w:t>
      </w:r>
      <w:r w:rsidR="003059EC">
        <w:rPr>
          <w:rFonts w:asciiTheme="majorHAnsi" w:hAnsiTheme="majorHAnsi" w:cstheme="majorHAnsi"/>
          <w:sz w:val="24"/>
          <w:szCs w:val="24"/>
        </w:rPr>
        <w:t xml:space="preserve"> or</w:t>
      </w:r>
    </w:p>
    <w:p w:rsidR="00044176" w:rsidRDefault="00044176" w:rsidP="00044176">
      <w:pPr>
        <w:pStyle w:val="BodyText"/>
        <w:numPr>
          <w:ilvl w:val="0"/>
          <w:numId w:val="26"/>
        </w:numPr>
        <w:spacing w:before="120"/>
        <w:rPr>
          <w:rFonts w:asciiTheme="majorHAnsi" w:hAnsiTheme="majorHAnsi" w:cstheme="majorHAnsi"/>
          <w:sz w:val="24"/>
          <w:szCs w:val="24"/>
        </w:rPr>
      </w:pPr>
      <w:r w:rsidRPr="00044176">
        <w:rPr>
          <w:rFonts w:asciiTheme="majorHAnsi" w:hAnsiTheme="majorHAnsi" w:cstheme="majorHAnsi"/>
          <w:sz w:val="24"/>
          <w:szCs w:val="24"/>
        </w:rPr>
        <w:t xml:space="preserve">the need to balance the positive benefits of public recognition with community expectations in relation to modest </w:t>
      </w:r>
      <w:r>
        <w:rPr>
          <w:rFonts w:asciiTheme="majorHAnsi" w:hAnsiTheme="majorHAnsi" w:cstheme="majorHAnsi"/>
          <w:sz w:val="24"/>
          <w:szCs w:val="24"/>
        </w:rPr>
        <w:t>expenditure by public officials</w:t>
      </w:r>
      <w:r w:rsidR="00CE4DFB">
        <w:rPr>
          <w:rFonts w:asciiTheme="majorHAnsi" w:hAnsiTheme="majorHAnsi" w:cstheme="majorHAnsi"/>
          <w:sz w:val="24"/>
          <w:szCs w:val="24"/>
        </w:rPr>
        <w:t>.</w:t>
      </w:r>
    </w:p>
    <w:p w:rsidR="00CE4DFB" w:rsidRPr="00CE4DFB" w:rsidRDefault="00CE4DFB" w:rsidP="00CE4DFB">
      <w:pPr>
        <w:pStyle w:val="BodyText"/>
        <w:rPr>
          <w:rFonts w:asciiTheme="majorHAnsi" w:hAnsiTheme="majorHAnsi" w:cstheme="majorHAnsi"/>
          <w:sz w:val="24"/>
          <w:szCs w:val="24"/>
        </w:rPr>
      </w:pPr>
      <w:r w:rsidRPr="00CE4DFB">
        <w:rPr>
          <w:rFonts w:asciiTheme="majorHAnsi" w:hAnsiTheme="majorHAnsi" w:cstheme="majorHAnsi"/>
          <w:sz w:val="24"/>
          <w:szCs w:val="24"/>
        </w:rPr>
        <w:t xml:space="preserve">As a guideline, </w:t>
      </w:r>
      <w:r>
        <w:rPr>
          <w:rFonts w:asciiTheme="majorHAnsi" w:hAnsiTheme="majorHAnsi" w:cstheme="majorHAnsi"/>
          <w:sz w:val="24"/>
          <w:szCs w:val="24"/>
        </w:rPr>
        <w:t>modest catering may be provided</w:t>
      </w:r>
      <w:r w:rsidRPr="00CE4DFB">
        <w:rPr>
          <w:rFonts w:asciiTheme="majorHAnsi" w:hAnsiTheme="majorHAnsi" w:cstheme="majorHAnsi"/>
          <w:sz w:val="24"/>
          <w:szCs w:val="24"/>
        </w:rPr>
        <w:t xml:space="preserve"> when meetings exceed these times:</w:t>
      </w:r>
    </w:p>
    <w:p w:rsidR="00CE4DFB" w:rsidRPr="00CE4DFB" w:rsidRDefault="00CE4DFB" w:rsidP="00CE4DFB">
      <w:pPr>
        <w:pStyle w:val="BodyText"/>
        <w:numPr>
          <w:ilvl w:val="0"/>
          <w:numId w:val="26"/>
        </w:numPr>
        <w:spacing w:before="120"/>
        <w:rPr>
          <w:rFonts w:asciiTheme="majorHAnsi" w:hAnsiTheme="majorHAnsi" w:cstheme="majorHAnsi"/>
          <w:sz w:val="24"/>
          <w:szCs w:val="24"/>
        </w:rPr>
      </w:pPr>
      <w:r w:rsidRPr="00CE4DFB">
        <w:rPr>
          <w:rFonts w:asciiTheme="majorHAnsi" w:hAnsiTheme="majorHAnsi" w:cstheme="majorHAnsi"/>
          <w:sz w:val="24"/>
          <w:szCs w:val="24"/>
        </w:rPr>
        <w:t>2 hours - for morning or afternoon tea</w:t>
      </w:r>
    </w:p>
    <w:p w:rsidR="00CE4DFB" w:rsidRPr="00CE4DFB" w:rsidRDefault="00CE4DFB" w:rsidP="00CE4DFB">
      <w:pPr>
        <w:pStyle w:val="BodyText"/>
        <w:numPr>
          <w:ilvl w:val="0"/>
          <w:numId w:val="26"/>
        </w:numPr>
        <w:spacing w:before="120"/>
        <w:rPr>
          <w:rFonts w:asciiTheme="majorHAnsi" w:hAnsiTheme="majorHAnsi" w:cstheme="majorHAnsi"/>
          <w:sz w:val="24"/>
          <w:szCs w:val="24"/>
        </w:rPr>
      </w:pPr>
      <w:r w:rsidRPr="00CE4DFB">
        <w:rPr>
          <w:rFonts w:asciiTheme="majorHAnsi" w:hAnsiTheme="majorHAnsi" w:cstheme="majorHAnsi"/>
          <w:sz w:val="24"/>
          <w:szCs w:val="24"/>
        </w:rPr>
        <w:t>3 hours - for lunch</w:t>
      </w:r>
    </w:p>
    <w:p w:rsidR="00CE4DFB" w:rsidRPr="00CE4DFB" w:rsidRDefault="00CE4DFB" w:rsidP="00CE4DFB">
      <w:pPr>
        <w:pStyle w:val="BodyText"/>
        <w:numPr>
          <w:ilvl w:val="0"/>
          <w:numId w:val="26"/>
        </w:numPr>
        <w:spacing w:before="120"/>
        <w:rPr>
          <w:rFonts w:asciiTheme="majorHAnsi" w:hAnsiTheme="majorHAnsi" w:cstheme="majorHAnsi"/>
          <w:sz w:val="24"/>
          <w:szCs w:val="24"/>
        </w:rPr>
      </w:pPr>
      <w:r w:rsidRPr="00CE4DFB">
        <w:rPr>
          <w:rFonts w:asciiTheme="majorHAnsi" w:hAnsiTheme="majorHAnsi" w:cstheme="majorHAnsi"/>
          <w:sz w:val="24"/>
          <w:szCs w:val="24"/>
        </w:rPr>
        <w:t>5 hours - for lunch and either morning or afternoon tea</w:t>
      </w:r>
    </w:p>
    <w:p w:rsidR="00CE4DFB" w:rsidRDefault="00CE4DFB" w:rsidP="00CE4DFB">
      <w:pPr>
        <w:pStyle w:val="BodyText"/>
        <w:numPr>
          <w:ilvl w:val="0"/>
          <w:numId w:val="26"/>
        </w:numPr>
        <w:spacing w:before="120"/>
        <w:rPr>
          <w:rFonts w:asciiTheme="majorHAnsi" w:hAnsiTheme="majorHAnsi" w:cstheme="majorHAnsi"/>
          <w:sz w:val="24"/>
          <w:szCs w:val="24"/>
        </w:rPr>
      </w:pPr>
      <w:r w:rsidRPr="00CE4DFB">
        <w:rPr>
          <w:rFonts w:asciiTheme="majorHAnsi" w:hAnsiTheme="majorHAnsi" w:cstheme="majorHAnsi"/>
          <w:sz w:val="24"/>
          <w:szCs w:val="24"/>
        </w:rPr>
        <w:t>7 hours - for lunch, morning tea and afternoon tea</w:t>
      </w:r>
    </w:p>
    <w:p w:rsidR="00CE4DFB" w:rsidRDefault="0077442B" w:rsidP="007E46CA">
      <w:pPr>
        <w:pStyle w:val="BodyText"/>
        <w:spacing w:before="120"/>
        <w:rPr>
          <w:rFonts w:asciiTheme="majorHAnsi" w:hAnsiTheme="majorHAnsi" w:cstheme="majorHAnsi"/>
          <w:sz w:val="24"/>
          <w:szCs w:val="24"/>
        </w:rPr>
      </w:pPr>
      <w:r>
        <w:rPr>
          <w:rFonts w:asciiTheme="majorHAnsi" w:hAnsiTheme="majorHAnsi" w:cstheme="majorHAnsi"/>
          <w:sz w:val="24"/>
          <w:szCs w:val="24"/>
        </w:rPr>
        <w:t xml:space="preserve">Catering may be provided </w:t>
      </w:r>
      <w:r w:rsidR="00CE4DFB" w:rsidRPr="00044176">
        <w:rPr>
          <w:rFonts w:asciiTheme="majorHAnsi" w:hAnsiTheme="majorHAnsi" w:cstheme="majorHAnsi"/>
          <w:sz w:val="24"/>
          <w:szCs w:val="24"/>
        </w:rPr>
        <w:t>for recognition of a significant milestone event</w:t>
      </w:r>
      <w:r w:rsidR="00CE4DFB">
        <w:rPr>
          <w:rFonts w:asciiTheme="majorHAnsi" w:hAnsiTheme="majorHAnsi" w:cstheme="majorHAnsi"/>
          <w:sz w:val="24"/>
          <w:szCs w:val="24"/>
        </w:rPr>
        <w:t xml:space="preserve"> in accordance with the Reward and Recognition Framework</w:t>
      </w:r>
      <w:r w:rsidR="00CE4DFB" w:rsidRPr="00044176">
        <w:rPr>
          <w:rFonts w:asciiTheme="majorHAnsi" w:hAnsiTheme="majorHAnsi" w:cstheme="majorHAnsi"/>
          <w:sz w:val="24"/>
          <w:szCs w:val="24"/>
        </w:rPr>
        <w:t xml:space="preserve"> (e.g.</w:t>
      </w:r>
      <w:r>
        <w:rPr>
          <w:rFonts w:asciiTheme="majorHAnsi" w:hAnsiTheme="majorHAnsi" w:cstheme="majorHAnsi"/>
          <w:sz w:val="24"/>
          <w:szCs w:val="24"/>
        </w:rPr>
        <w:t xml:space="preserve"> </w:t>
      </w:r>
      <w:r w:rsidR="00CE4DFB" w:rsidRPr="00044176">
        <w:rPr>
          <w:rFonts w:asciiTheme="majorHAnsi" w:hAnsiTheme="majorHAnsi" w:cstheme="majorHAnsi"/>
          <w:sz w:val="24"/>
          <w:szCs w:val="24"/>
        </w:rPr>
        <w:t>retirement for a long standing employee</w:t>
      </w:r>
      <w:r>
        <w:rPr>
          <w:rFonts w:asciiTheme="majorHAnsi" w:hAnsiTheme="majorHAnsi" w:cstheme="majorHAnsi"/>
          <w:sz w:val="24"/>
          <w:szCs w:val="24"/>
        </w:rPr>
        <w:t>) however, personal celebrations such as birthdays may not be funded with public funds.</w:t>
      </w:r>
    </w:p>
    <w:p w:rsidR="003059EC" w:rsidRPr="007E46CA" w:rsidRDefault="003059EC" w:rsidP="007E46CA">
      <w:pPr>
        <w:pStyle w:val="Heading3"/>
        <w:rPr>
          <w:sz w:val="24"/>
        </w:rPr>
      </w:pPr>
      <w:r w:rsidRPr="007E46CA">
        <w:rPr>
          <w:sz w:val="24"/>
        </w:rPr>
        <w:t>Provision of Alcohol</w:t>
      </w:r>
    </w:p>
    <w:p w:rsidR="003059EC" w:rsidRPr="00164BE1" w:rsidRDefault="003059EC" w:rsidP="003059EC">
      <w:pPr>
        <w:pStyle w:val="BodyText"/>
        <w:spacing w:before="120"/>
        <w:rPr>
          <w:rFonts w:asciiTheme="majorHAnsi" w:hAnsiTheme="majorHAnsi" w:cstheme="majorHAnsi"/>
          <w:sz w:val="24"/>
          <w:szCs w:val="24"/>
          <w:lang w:val="en-AU"/>
        </w:rPr>
      </w:pPr>
      <w:r>
        <w:rPr>
          <w:rFonts w:asciiTheme="majorHAnsi" w:hAnsiTheme="majorHAnsi" w:cstheme="majorHAnsi"/>
          <w:sz w:val="24"/>
          <w:szCs w:val="24"/>
        </w:rPr>
        <w:t xml:space="preserve">The provision, supply or consumption of alcohol for any event (external or internal) may only be provided in accordance with Gippsland Water’s </w:t>
      </w:r>
      <w:r w:rsidRPr="007E46CA">
        <w:rPr>
          <w:rFonts w:asciiTheme="majorHAnsi" w:hAnsiTheme="majorHAnsi" w:cstheme="majorHAnsi"/>
          <w:i/>
          <w:sz w:val="24"/>
          <w:szCs w:val="24"/>
        </w:rPr>
        <w:t>Drug and Alcohol Policy</w:t>
      </w:r>
      <w:r w:rsidRPr="003C5F69">
        <w:rPr>
          <w:rFonts w:asciiTheme="majorHAnsi" w:hAnsiTheme="majorHAnsi" w:cstheme="majorHAnsi"/>
          <w:sz w:val="24"/>
          <w:szCs w:val="24"/>
        </w:rPr>
        <w:t xml:space="preserve"> (COR/16/23655).</w:t>
      </w:r>
    </w:p>
    <w:p w:rsidR="003059EC" w:rsidRPr="00044176" w:rsidRDefault="003059EC" w:rsidP="003059EC">
      <w:pPr>
        <w:pStyle w:val="BodyText"/>
        <w:spacing w:before="120"/>
        <w:rPr>
          <w:rFonts w:asciiTheme="majorHAnsi" w:hAnsiTheme="majorHAnsi" w:cstheme="majorHAnsi"/>
          <w:sz w:val="24"/>
          <w:szCs w:val="24"/>
        </w:rPr>
      </w:pPr>
    </w:p>
    <w:p w:rsidR="00164BE1" w:rsidRPr="00E628D7" w:rsidRDefault="00164BE1" w:rsidP="00164BE1">
      <w:pPr>
        <w:pStyle w:val="Heading2"/>
        <w:ind w:left="284" w:hanging="284"/>
        <w:rPr>
          <w:sz w:val="24"/>
        </w:rPr>
      </w:pPr>
      <w:r w:rsidRPr="00E628D7">
        <w:rPr>
          <w:sz w:val="24"/>
        </w:rPr>
        <w:t>Breaches</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Disciplinary action consistent with the relevant industrial instrument and legislation, including dismissal, may be taken where an individual fails to adhere to this policy. This includes where an individual fails to avoid wherever possible or identify, declare and manage a conflict of interest related to gifts, benefits and hospitality in accordance with Gippsland Water’s </w:t>
      </w:r>
      <w:r w:rsidRPr="00E628D7">
        <w:rPr>
          <w:rFonts w:asciiTheme="majorHAnsi" w:hAnsiTheme="majorHAnsi" w:cstheme="majorHAnsi"/>
          <w:i/>
          <w:sz w:val="24"/>
          <w:szCs w:val="24"/>
          <w:lang w:val="en-AU"/>
        </w:rPr>
        <w:t>Conflict of Interest policy</w:t>
      </w:r>
      <w:r w:rsidRPr="00164BE1">
        <w:rPr>
          <w:rFonts w:asciiTheme="majorHAnsi" w:hAnsiTheme="majorHAnsi" w:cstheme="majorHAnsi"/>
          <w:sz w:val="24"/>
          <w:szCs w:val="24"/>
          <w:lang w:val="en-AU"/>
        </w:rPr>
        <w:t xml:space="preserve">.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Actions inconsistent with this policy may constitute misconduct under the </w:t>
      </w:r>
      <w:r w:rsidRPr="00164BE1">
        <w:rPr>
          <w:rFonts w:asciiTheme="majorHAnsi" w:hAnsiTheme="majorHAnsi" w:cstheme="majorHAnsi"/>
          <w:i/>
          <w:sz w:val="24"/>
          <w:szCs w:val="24"/>
          <w:lang w:val="en-AU"/>
        </w:rPr>
        <w:t xml:space="preserve">Public Administration </w:t>
      </w:r>
      <w:r w:rsidRPr="00E628D7">
        <w:rPr>
          <w:rFonts w:asciiTheme="majorHAnsi" w:hAnsiTheme="majorHAnsi" w:cstheme="majorHAnsi"/>
          <w:i/>
          <w:sz w:val="24"/>
          <w:szCs w:val="24"/>
          <w:lang w:val="en-AU"/>
        </w:rPr>
        <w:t>Act</w:t>
      </w:r>
      <w:r w:rsidRPr="00D847DB">
        <w:rPr>
          <w:rFonts w:asciiTheme="majorHAnsi" w:hAnsiTheme="majorHAnsi" w:cstheme="majorHAnsi"/>
          <w:i/>
          <w:sz w:val="24"/>
          <w:szCs w:val="24"/>
          <w:lang w:val="en-AU"/>
        </w:rPr>
        <w:t xml:space="preserve"> </w:t>
      </w:r>
      <w:r w:rsidRPr="00164BE1">
        <w:rPr>
          <w:rFonts w:asciiTheme="majorHAnsi" w:hAnsiTheme="majorHAnsi" w:cstheme="majorHAnsi"/>
          <w:i/>
          <w:sz w:val="24"/>
          <w:szCs w:val="24"/>
          <w:lang w:val="en-AU"/>
        </w:rPr>
        <w:t xml:space="preserve">2004, </w:t>
      </w:r>
      <w:r w:rsidRPr="00164BE1">
        <w:rPr>
          <w:rFonts w:asciiTheme="majorHAnsi" w:hAnsiTheme="majorHAnsi" w:cstheme="majorHAnsi"/>
          <w:sz w:val="24"/>
          <w:szCs w:val="24"/>
          <w:lang w:val="en-AU"/>
        </w:rPr>
        <w:t>which includes:</w:t>
      </w:r>
    </w:p>
    <w:p w:rsidR="00164BE1" w:rsidRPr="007E46CA" w:rsidRDefault="00164BE1" w:rsidP="00164BE1">
      <w:pPr>
        <w:pStyle w:val="BodyText"/>
        <w:numPr>
          <w:ilvl w:val="0"/>
          <w:numId w:val="11"/>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breaches of the binding </w:t>
      </w:r>
      <w:r w:rsidRPr="00164BE1">
        <w:rPr>
          <w:rFonts w:asciiTheme="majorHAnsi" w:hAnsiTheme="majorHAnsi" w:cstheme="majorHAnsi"/>
          <w:i/>
          <w:sz w:val="24"/>
          <w:szCs w:val="24"/>
          <w:lang w:val="en-AU"/>
        </w:rPr>
        <w:t xml:space="preserve">Code of conduct for Victorian public sector employees, </w:t>
      </w:r>
      <w:r w:rsidRPr="00164BE1">
        <w:rPr>
          <w:rFonts w:asciiTheme="majorHAnsi" w:hAnsiTheme="majorHAnsi" w:cstheme="majorHAnsi"/>
          <w:sz w:val="24"/>
          <w:szCs w:val="24"/>
          <w:lang w:val="en-AU"/>
        </w:rPr>
        <w:t>such as sections of the Code covering conflict of interes</w:t>
      </w:r>
      <w:r w:rsidRPr="007E46CA">
        <w:rPr>
          <w:rFonts w:asciiTheme="majorHAnsi" w:hAnsiTheme="majorHAnsi" w:cstheme="majorHAnsi"/>
          <w:sz w:val="24"/>
          <w:szCs w:val="24"/>
          <w:lang w:val="en-AU"/>
        </w:rPr>
        <w:t xml:space="preserve">t (section 3.7), public trust (section 3.9) and gifts and benefits (section 4.2); and </w:t>
      </w:r>
    </w:p>
    <w:p w:rsidR="00164BE1" w:rsidRPr="00164BE1" w:rsidRDefault="00164BE1" w:rsidP="00164BE1">
      <w:pPr>
        <w:pStyle w:val="BodyText"/>
        <w:numPr>
          <w:ilvl w:val="0"/>
          <w:numId w:val="11"/>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individuals making improper use of their position.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For further information on managing breaches of this policy, please contact the Manager </w:t>
      </w:r>
      <w:r w:rsidR="00D847DB">
        <w:rPr>
          <w:rFonts w:asciiTheme="majorHAnsi" w:hAnsiTheme="majorHAnsi" w:cstheme="majorHAnsi"/>
          <w:sz w:val="24"/>
          <w:szCs w:val="24"/>
          <w:lang w:val="en-AU"/>
        </w:rPr>
        <w:t>Governance</w:t>
      </w:r>
      <w:r w:rsidRPr="00164BE1">
        <w:rPr>
          <w:rFonts w:asciiTheme="majorHAnsi" w:hAnsiTheme="majorHAnsi" w:cstheme="majorHAnsi"/>
          <w:sz w:val="24"/>
          <w:szCs w:val="24"/>
          <w:lang w:val="en-AU"/>
        </w:rPr>
        <w:t>.</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Gippsland Water will communicate its policy on the offering and provision of gifts, benefits and hospitality to contractors, consultants and other business associates. Those identified as acting inconsistently with this policy may be subject to contract re-negotiation, including termination. </w:t>
      </w:r>
    </w:p>
    <w:p w:rsidR="00164BE1" w:rsidRPr="00E628D7" w:rsidRDefault="00164BE1" w:rsidP="00164BE1">
      <w:pPr>
        <w:pStyle w:val="Heading2"/>
        <w:ind w:left="284" w:hanging="284"/>
        <w:rPr>
          <w:sz w:val="24"/>
        </w:rPr>
      </w:pPr>
      <w:r w:rsidRPr="00E628D7">
        <w:rPr>
          <w:sz w:val="24"/>
        </w:rPr>
        <w:t>Speak-up</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Individuals who consider that gifts, benefits and hospitality or conflict of interest within Gippsland Water may not have been declared or is not being appropriately managed should speak up and notify their manager or the Manager </w:t>
      </w:r>
      <w:r w:rsidR="00D847DB">
        <w:rPr>
          <w:rFonts w:asciiTheme="majorHAnsi" w:hAnsiTheme="majorHAnsi" w:cstheme="majorHAnsi"/>
          <w:sz w:val="24"/>
          <w:szCs w:val="24"/>
          <w:lang w:val="en-AU"/>
        </w:rPr>
        <w:t>Governance</w:t>
      </w:r>
      <w:r w:rsidRPr="00164BE1">
        <w:rPr>
          <w:rFonts w:asciiTheme="majorHAnsi" w:hAnsiTheme="majorHAnsi" w:cstheme="majorHAnsi"/>
          <w:color w:val="FF0000"/>
          <w:sz w:val="24"/>
          <w:szCs w:val="24"/>
          <w:lang w:val="en-AU"/>
        </w:rPr>
        <w:t xml:space="preserve">. </w:t>
      </w:r>
      <w:r w:rsidR="00D847DB" w:rsidRPr="007E46CA">
        <w:rPr>
          <w:rFonts w:asciiTheme="majorHAnsi" w:hAnsiTheme="majorHAnsi" w:cstheme="majorHAnsi"/>
          <w:sz w:val="24"/>
          <w:szCs w:val="24"/>
          <w:lang w:val="en-AU"/>
        </w:rPr>
        <w:t xml:space="preserve">Individuals who believe they have observed corrupt conduct in their colleagues may also make a protected disclosure directly to the Independent Broad-based Anti-Corruption Commission (IBAC). </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Gippsland Water will take decisive action, including possible disciplinary action, against individuals who discriminate against or victimise those who Speak-Up in good faith. </w:t>
      </w:r>
    </w:p>
    <w:p w:rsidR="00164BE1" w:rsidRPr="00E628D7" w:rsidRDefault="00164BE1" w:rsidP="00164BE1">
      <w:pPr>
        <w:pStyle w:val="Heading2"/>
        <w:ind w:left="284" w:hanging="284"/>
        <w:rPr>
          <w:sz w:val="24"/>
        </w:rPr>
      </w:pPr>
      <w:r w:rsidRPr="00E628D7">
        <w:rPr>
          <w:sz w:val="24"/>
        </w:rPr>
        <w:t xml:space="preserve">Contacts </w:t>
      </w:r>
      <w:r w:rsidR="00E04904" w:rsidRPr="00E628D7">
        <w:rPr>
          <w:sz w:val="24"/>
        </w:rPr>
        <w:t>for</w:t>
      </w:r>
      <w:r w:rsidRPr="00E628D7">
        <w:rPr>
          <w:sz w:val="24"/>
        </w:rPr>
        <w:t xml:space="preserve"> Further Information</w:t>
      </w:r>
    </w:p>
    <w:p w:rsidR="00164BE1" w:rsidRPr="00164BE1" w:rsidRDefault="00164BE1" w:rsidP="00164BE1">
      <w:pPr>
        <w:pStyle w:val="BodyText"/>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 conflict of interest resulting from the acceptance of a gift, benefit or hospitality is not always clear to those who have them. Individuals who are unsure about the acceptance of a gift, benefit or hospitality, or the application of this policy, should ask their manager or the Manager </w:t>
      </w:r>
      <w:r w:rsidR="00D847DB">
        <w:rPr>
          <w:rFonts w:asciiTheme="majorHAnsi" w:hAnsiTheme="majorHAnsi" w:cstheme="majorHAnsi"/>
          <w:sz w:val="24"/>
          <w:szCs w:val="24"/>
          <w:lang w:val="en-AU"/>
        </w:rPr>
        <w:t>Governance</w:t>
      </w:r>
      <w:r w:rsidRPr="00164BE1">
        <w:rPr>
          <w:rFonts w:asciiTheme="majorHAnsi" w:hAnsiTheme="majorHAnsi" w:cstheme="majorHAnsi"/>
          <w:sz w:val="24"/>
          <w:szCs w:val="24"/>
          <w:lang w:val="en-AU"/>
        </w:rPr>
        <w:t xml:space="preserve"> for advice.</w:t>
      </w:r>
    </w:p>
    <w:p w:rsidR="00F61ED4" w:rsidRPr="00164BE1" w:rsidRDefault="00E40B7D" w:rsidP="00164BE1">
      <w:pPr>
        <w:pStyle w:val="Heading1"/>
        <w:spacing w:before="120" w:after="120"/>
        <w:rPr>
          <w:szCs w:val="24"/>
        </w:rPr>
      </w:pPr>
      <w:r w:rsidRPr="00164BE1">
        <w:rPr>
          <w:szCs w:val="24"/>
        </w:rPr>
        <w:t>Policy review and approval</w:t>
      </w:r>
    </w:p>
    <w:tbl>
      <w:tblPr>
        <w:tblStyle w:val="PlainTable4"/>
        <w:tblW w:w="5000" w:type="pct"/>
        <w:tblCellMar>
          <w:left w:w="0" w:type="dxa"/>
        </w:tblCellMar>
        <w:tblLook w:val="0620" w:firstRow="1" w:lastRow="0" w:firstColumn="0" w:lastColumn="0" w:noHBand="1" w:noVBand="1"/>
      </w:tblPr>
      <w:tblGrid>
        <w:gridCol w:w="3401"/>
        <w:gridCol w:w="3402"/>
        <w:gridCol w:w="3402"/>
      </w:tblGrid>
      <w:tr w:rsidR="00D21B65" w:rsidRPr="00164BE1" w:rsidTr="00C57D84">
        <w:trPr>
          <w:cnfStyle w:val="100000000000" w:firstRow="1" w:lastRow="0" w:firstColumn="0" w:lastColumn="0" w:oddVBand="0" w:evenVBand="0" w:oddHBand="0" w:evenHBand="0" w:firstRowFirstColumn="0" w:firstRowLastColumn="0" w:lastRowFirstColumn="0" w:lastRowLastColumn="0"/>
        </w:trPr>
        <w:tc>
          <w:tcPr>
            <w:tcW w:w="1666" w:type="pct"/>
            <w:vAlign w:val="center"/>
          </w:tcPr>
          <w:p w:rsidR="00F61ED4" w:rsidRPr="00164BE1" w:rsidRDefault="00F61ED4"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Responsible Officer</w:t>
            </w:r>
          </w:p>
        </w:tc>
        <w:tc>
          <w:tcPr>
            <w:tcW w:w="1667" w:type="pct"/>
            <w:vAlign w:val="center"/>
          </w:tcPr>
          <w:p w:rsidR="00F61ED4" w:rsidRPr="00164BE1" w:rsidRDefault="00F61ED4"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Review Frequency</w:t>
            </w:r>
          </w:p>
        </w:tc>
        <w:tc>
          <w:tcPr>
            <w:tcW w:w="1667" w:type="pct"/>
            <w:vAlign w:val="center"/>
          </w:tcPr>
          <w:p w:rsidR="00F61ED4" w:rsidRPr="00164BE1" w:rsidRDefault="00F61ED4"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Approving Body</w:t>
            </w:r>
          </w:p>
        </w:tc>
      </w:tr>
      <w:tr w:rsidR="00D21B65" w:rsidRPr="00164BE1" w:rsidTr="00C57D84">
        <w:sdt>
          <w:sdtPr>
            <w:rPr>
              <w:rFonts w:asciiTheme="majorHAnsi" w:hAnsiTheme="majorHAnsi" w:cstheme="majorHAnsi"/>
              <w:noProof/>
              <w:sz w:val="24"/>
              <w:szCs w:val="24"/>
            </w:rPr>
            <w:alias w:val="Responsible Officer"/>
            <w:tag w:val="Responsible Officer"/>
            <w:id w:val="610243886"/>
            <w:placeholder>
              <w:docPart w:val="86BD36569FB147F280232BE06D250AA9"/>
            </w:placeholder>
            <w:text/>
          </w:sdtPr>
          <w:sdtEndPr/>
          <w:sdtContent>
            <w:tc>
              <w:tcPr>
                <w:tcW w:w="1666" w:type="pct"/>
                <w:vAlign w:val="center"/>
              </w:tcPr>
              <w:p w:rsidR="00F61ED4" w:rsidRPr="00164BE1" w:rsidRDefault="00164BE1"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Manager Governance</w:t>
                </w:r>
              </w:p>
            </w:tc>
          </w:sdtContent>
        </w:sdt>
        <w:sdt>
          <w:sdtPr>
            <w:rPr>
              <w:rFonts w:asciiTheme="majorHAnsi" w:hAnsiTheme="majorHAnsi" w:cstheme="majorHAnsi"/>
              <w:noProof/>
              <w:sz w:val="24"/>
              <w:szCs w:val="24"/>
            </w:rPr>
            <w:alias w:val="Review Frequency"/>
            <w:tag w:val="Review Frequency"/>
            <w:id w:val="1051659951"/>
            <w:placeholder>
              <w:docPart w:val="8580D089D7274973899E61250176DD12"/>
            </w:placeholder>
            <w:text/>
          </w:sdtPr>
          <w:sdtEndPr/>
          <w:sdtContent>
            <w:tc>
              <w:tcPr>
                <w:tcW w:w="1667" w:type="pct"/>
                <w:vAlign w:val="center"/>
              </w:tcPr>
              <w:p w:rsidR="00F61ED4" w:rsidRPr="00164BE1" w:rsidRDefault="00164BE1"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Every Three Years</w:t>
                </w:r>
              </w:p>
            </w:tc>
          </w:sdtContent>
        </w:sdt>
        <w:sdt>
          <w:sdtPr>
            <w:rPr>
              <w:rFonts w:asciiTheme="majorHAnsi" w:hAnsiTheme="majorHAnsi" w:cstheme="majorHAnsi"/>
              <w:noProof/>
              <w:sz w:val="24"/>
              <w:szCs w:val="24"/>
            </w:rPr>
            <w:alias w:val="Approving Body"/>
            <w:tag w:val="Approving Body"/>
            <w:id w:val="-222136857"/>
            <w:placeholder>
              <w:docPart w:val="FB8412DDAFFE471FA9F605B9EE544F97"/>
            </w:placeholder>
            <w:text/>
          </w:sdtPr>
          <w:sdtEndPr/>
          <w:sdtContent>
            <w:tc>
              <w:tcPr>
                <w:tcW w:w="1667" w:type="pct"/>
                <w:vAlign w:val="center"/>
              </w:tcPr>
              <w:p w:rsidR="00F61ED4" w:rsidRPr="00164BE1" w:rsidRDefault="00164BE1" w:rsidP="00164BE1">
                <w:pPr>
                  <w:pStyle w:val="Normal-CompactSpacing"/>
                  <w:spacing w:before="120" w:after="120"/>
                  <w:rPr>
                    <w:rFonts w:asciiTheme="majorHAnsi" w:hAnsiTheme="majorHAnsi" w:cstheme="majorHAnsi"/>
                    <w:noProof/>
                    <w:sz w:val="24"/>
                    <w:szCs w:val="24"/>
                  </w:rPr>
                </w:pPr>
                <w:r w:rsidRPr="00164BE1">
                  <w:rPr>
                    <w:rFonts w:asciiTheme="majorHAnsi" w:hAnsiTheme="majorHAnsi" w:cstheme="majorHAnsi"/>
                    <w:noProof/>
                    <w:sz w:val="24"/>
                    <w:szCs w:val="24"/>
                  </w:rPr>
                  <w:t>Executive Leadership Team</w:t>
                </w:r>
              </w:p>
            </w:tc>
          </w:sdtContent>
        </w:sdt>
      </w:tr>
    </w:tbl>
    <w:p w:rsidR="00F212D4" w:rsidRPr="00164BE1" w:rsidRDefault="00F212D4" w:rsidP="00164BE1">
      <w:pPr>
        <w:pStyle w:val="Heading1"/>
        <w:spacing w:before="120" w:after="120"/>
        <w:rPr>
          <w:szCs w:val="24"/>
        </w:rPr>
      </w:pPr>
      <w:r w:rsidRPr="00164BE1">
        <w:rPr>
          <w:szCs w:val="24"/>
        </w:rPr>
        <w:t>Normative references</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Minimum accountabilities for the management of gifts, benefits and hospitality (see Instructions supporting the Standing Directions of the Minister for Finance)</w:t>
      </w:r>
    </w:p>
    <w:p w:rsidR="00164BE1" w:rsidRPr="00E628D7" w:rsidRDefault="00164BE1" w:rsidP="00164BE1">
      <w:pPr>
        <w:pStyle w:val="OutlineNumber-Relaxed"/>
        <w:spacing w:line="240" w:lineRule="auto"/>
        <w:ind w:left="567" w:hanging="567"/>
        <w:rPr>
          <w:rFonts w:asciiTheme="majorHAnsi" w:hAnsiTheme="majorHAnsi" w:cstheme="majorHAnsi"/>
          <w:i/>
          <w:sz w:val="24"/>
          <w:szCs w:val="24"/>
        </w:rPr>
      </w:pPr>
      <w:r w:rsidRPr="00E628D7">
        <w:rPr>
          <w:rFonts w:asciiTheme="majorHAnsi" w:hAnsiTheme="majorHAnsi" w:cstheme="majorHAnsi"/>
          <w:i/>
          <w:sz w:val="24"/>
          <w:szCs w:val="24"/>
        </w:rPr>
        <w:t>Public Administration Act 2004</w:t>
      </w:r>
    </w:p>
    <w:p w:rsidR="00164BE1" w:rsidRPr="007E46CA" w:rsidRDefault="00872F6A" w:rsidP="00164BE1">
      <w:pPr>
        <w:pStyle w:val="OutlineNumber-Relaxed"/>
        <w:spacing w:line="240" w:lineRule="auto"/>
        <w:ind w:left="567" w:hanging="567"/>
        <w:rPr>
          <w:rFonts w:asciiTheme="majorHAnsi" w:hAnsiTheme="majorHAnsi" w:cstheme="majorHAnsi"/>
          <w:sz w:val="24"/>
          <w:szCs w:val="24"/>
        </w:rPr>
      </w:pPr>
      <w:hyperlink r:id="rId12" w:history="1">
        <w:r w:rsidR="00164BE1" w:rsidRPr="007E46CA">
          <w:rPr>
            <w:rStyle w:val="Hyperlink"/>
            <w:rFonts w:asciiTheme="majorHAnsi" w:hAnsiTheme="majorHAnsi" w:cstheme="majorHAnsi"/>
            <w:sz w:val="24"/>
            <w:szCs w:val="24"/>
          </w:rPr>
          <w:t>Code of conduct for Victorian public sector employees</w:t>
        </w:r>
      </w:hyperlink>
      <w:r w:rsidR="00164BE1" w:rsidRPr="007E46CA">
        <w:rPr>
          <w:rFonts w:asciiTheme="majorHAnsi" w:hAnsiTheme="majorHAnsi" w:cstheme="majorHAnsi"/>
          <w:sz w:val="24"/>
          <w:szCs w:val="24"/>
        </w:rPr>
        <w:t xml:space="preserve"> </w:t>
      </w:r>
    </w:p>
    <w:p w:rsidR="00164BE1" w:rsidRPr="007E46CA" w:rsidRDefault="00872F6A" w:rsidP="00164BE1">
      <w:pPr>
        <w:pStyle w:val="OutlineNumber-Relaxed"/>
        <w:spacing w:line="240" w:lineRule="auto"/>
        <w:ind w:left="567" w:hanging="567"/>
        <w:rPr>
          <w:rFonts w:asciiTheme="majorHAnsi" w:hAnsiTheme="majorHAnsi" w:cstheme="majorHAnsi"/>
          <w:sz w:val="24"/>
          <w:szCs w:val="24"/>
        </w:rPr>
      </w:pPr>
      <w:hyperlink r:id="rId13" w:history="1">
        <w:r w:rsidR="00164BE1" w:rsidRPr="007E46CA">
          <w:rPr>
            <w:rStyle w:val="Hyperlink"/>
            <w:rFonts w:asciiTheme="majorHAnsi" w:hAnsiTheme="majorHAnsi" w:cstheme="majorHAnsi"/>
            <w:sz w:val="24"/>
            <w:szCs w:val="24"/>
          </w:rPr>
          <w:t>Code of conduct for Directors of Victorian public entities</w:t>
        </w:r>
      </w:hyperlink>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Victorian Public Sector Commission’s Gifts, benefits and hospitality policy framework.</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Conflict of interest (COR/10/12097)</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Fraud and Corruption Control Policy (COR/04/13841)</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Human Resources Policy (COR/13/42956)</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Privacy Policy (COR/04/3401)</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 xml:space="preserve">Protected Disclosure Policy(COR/13/53031) </w:t>
      </w:r>
    </w:p>
    <w:p w:rsidR="00164BE1" w:rsidRP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Hospitality Policy (COR/09/2413)</w:t>
      </w:r>
    </w:p>
    <w:p w:rsidR="00164BE1" w:rsidRDefault="00164BE1" w:rsidP="00164BE1">
      <w:pPr>
        <w:pStyle w:val="OutlineNumber-Relaxed"/>
        <w:spacing w:line="240" w:lineRule="auto"/>
        <w:ind w:left="567" w:hanging="567"/>
        <w:rPr>
          <w:rFonts w:asciiTheme="majorHAnsi" w:hAnsiTheme="majorHAnsi" w:cstheme="majorHAnsi"/>
          <w:sz w:val="24"/>
          <w:szCs w:val="24"/>
        </w:rPr>
      </w:pPr>
      <w:r w:rsidRPr="00164BE1">
        <w:rPr>
          <w:rFonts w:asciiTheme="majorHAnsi" w:hAnsiTheme="majorHAnsi" w:cstheme="majorHAnsi"/>
          <w:sz w:val="24"/>
          <w:szCs w:val="24"/>
        </w:rPr>
        <w:t>Drug and Alcohol Policy (COR/16/23655)</w:t>
      </w:r>
    </w:p>
    <w:p w:rsidR="00E628D7" w:rsidRDefault="00E628D7" w:rsidP="00164BE1">
      <w:pPr>
        <w:pStyle w:val="OutlineNumber-Relaxed"/>
        <w:spacing w:line="240" w:lineRule="auto"/>
        <w:ind w:left="567" w:hanging="567"/>
        <w:rPr>
          <w:rFonts w:asciiTheme="majorHAnsi" w:hAnsiTheme="majorHAnsi" w:cstheme="majorHAnsi"/>
          <w:sz w:val="24"/>
          <w:szCs w:val="24"/>
        </w:rPr>
      </w:pPr>
      <w:r>
        <w:rPr>
          <w:rFonts w:asciiTheme="majorHAnsi" w:hAnsiTheme="majorHAnsi" w:cstheme="majorHAnsi"/>
          <w:sz w:val="24"/>
          <w:szCs w:val="24"/>
        </w:rPr>
        <w:t xml:space="preserve">Rewards and Recognition </w:t>
      </w:r>
      <w:r w:rsidR="004D7C7E">
        <w:rPr>
          <w:rFonts w:asciiTheme="majorHAnsi" w:hAnsiTheme="majorHAnsi" w:cstheme="majorHAnsi"/>
          <w:sz w:val="24"/>
          <w:szCs w:val="24"/>
        </w:rPr>
        <w:t>Framework</w:t>
      </w:r>
    </w:p>
    <w:p w:rsidR="00E628D7" w:rsidRDefault="00E628D7" w:rsidP="00164BE1">
      <w:pPr>
        <w:pStyle w:val="OutlineNumber-Relaxed"/>
        <w:spacing w:line="240" w:lineRule="auto"/>
        <w:ind w:left="567" w:hanging="567"/>
        <w:rPr>
          <w:rFonts w:asciiTheme="majorHAnsi" w:hAnsiTheme="majorHAnsi" w:cstheme="majorHAnsi"/>
          <w:sz w:val="24"/>
          <w:szCs w:val="24"/>
        </w:rPr>
      </w:pPr>
      <w:r>
        <w:rPr>
          <w:rFonts w:asciiTheme="majorHAnsi" w:hAnsiTheme="majorHAnsi" w:cstheme="majorHAnsi"/>
          <w:sz w:val="24"/>
          <w:szCs w:val="24"/>
        </w:rPr>
        <w:t>Travel Policy</w:t>
      </w:r>
    </w:p>
    <w:p w:rsidR="00164BE1" w:rsidRPr="00164BE1" w:rsidRDefault="00164BE1" w:rsidP="00164BE1">
      <w:pPr>
        <w:pStyle w:val="OutlineNumber-Relaxed"/>
        <w:numPr>
          <w:ilvl w:val="0"/>
          <w:numId w:val="0"/>
        </w:numPr>
        <w:spacing w:line="240" w:lineRule="auto"/>
        <w:ind w:left="284"/>
        <w:rPr>
          <w:rFonts w:asciiTheme="majorHAnsi" w:hAnsiTheme="majorHAnsi" w:cstheme="majorHAnsi"/>
          <w:sz w:val="24"/>
          <w:szCs w:val="24"/>
        </w:rPr>
      </w:pPr>
    </w:p>
    <w:p w:rsidR="00D847DB" w:rsidRDefault="00D847DB">
      <w:pPr>
        <w:spacing w:before="0" w:after="0" w:line="240" w:lineRule="auto"/>
        <w:rPr>
          <w:rFonts w:asciiTheme="majorHAnsi" w:eastAsiaTheme="majorEastAsia" w:hAnsiTheme="majorHAnsi" w:cstheme="majorHAnsi"/>
          <w:b/>
          <w:bCs/>
          <w:color w:val="007CC2" w:themeColor="accent1"/>
          <w:spacing w:val="2"/>
          <w:sz w:val="24"/>
          <w:szCs w:val="24"/>
        </w:rPr>
      </w:pPr>
      <w:r>
        <w:rPr>
          <w:szCs w:val="24"/>
        </w:rPr>
        <w:br w:type="page"/>
      </w:r>
    </w:p>
    <w:p w:rsidR="00164BE1" w:rsidRPr="00164BE1" w:rsidRDefault="00164BE1" w:rsidP="00164BE1">
      <w:pPr>
        <w:pStyle w:val="Heading1"/>
        <w:spacing w:before="120" w:after="120"/>
        <w:rPr>
          <w:szCs w:val="24"/>
        </w:rPr>
      </w:pPr>
      <w:r w:rsidRPr="00164BE1">
        <w:rPr>
          <w:szCs w:val="24"/>
        </w:rPr>
        <w:t>Appendix 1</w:t>
      </w:r>
    </w:p>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b/>
          <w:sz w:val="24"/>
          <w:szCs w:val="24"/>
          <w:lang w:val="en-AU"/>
        </w:rPr>
        <w:t>Minimum accountabilities</w:t>
      </w:r>
    </w:p>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b/>
          <w:sz w:val="24"/>
          <w:szCs w:val="24"/>
          <w:lang w:val="en-AU"/>
        </w:rPr>
        <w:t xml:space="preserve">Public officials offered gifts, benefits and hospitality: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Do not, for themselves or others, seek or solicit gifts, benefits and hospitality.</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Refuse all offers of gifts, benefits and hospitality that:</w:t>
      </w:r>
    </w:p>
    <w:p w:rsidR="00164BE1" w:rsidRPr="00164BE1" w:rsidRDefault="00164BE1" w:rsidP="00164BE1">
      <w:pPr>
        <w:pStyle w:val="BodyText"/>
        <w:numPr>
          <w:ilvl w:val="0"/>
          <w:numId w:val="13"/>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are money, items used in a similar way to money, or items easily converted to money;</w:t>
      </w:r>
    </w:p>
    <w:p w:rsidR="00164BE1" w:rsidRPr="00164BE1" w:rsidRDefault="00164BE1" w:rsidP="00164BE1">
      <w:pPr>
        <w:pStyle w:val="BodyText"/>
        <w:numPr>
          <w:ilvl w:val="0"/>
          <w:numId w:val="13"/>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give rise to an actual, potential or perceived conflict of interest;</w:t>
      </w:r>
    </w:p>
    <w:p w:rsidR="00164BE1" w:rsidRPr="00164BE1" w:rsidRDefault="00164BE1" w:rsidP="00164BE1">
      <w:pPr>
        <w:pStyle w:val="BodyText"/>
        <w:numPr>
          <w:ilvl w:val="0"/>
          <w:numId w:val="13"/>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may adversely affect their standing as a public official or which may bring their public sector employer or the public sector into disrepute; or</w:t>
      </w:r>
    </w:p>
    <w:p w:rsidR="00164BE1" w:rsidRPr="00164BE1" w:rsidRDefault="00164BE1" w:rsidP="00164BE1">
      <w:pPr>
        <w:pStyle w:val="BodyText"/>
        <w:numPr>
          <w:ilvl w:val="0"/>
          <w:numId w:val="13"/>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are non-token offers without a legitimate business benefit.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Declare all non-token offers (valued at $50 or more) of gifts, benefits and hospitality (whether accepted or declined) on their organisation’s register, and seek written approval from their manager or organisational delegate to accept any non-token offer.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Refuse bribes or inducements and report inducements and bribery attempts to the head of the public sector organisation or their delegate (who should report any criminal or corrupt conduct to Victoria Police or the Independent Broad-based Anti-corruption Commission).</w:t>
      </w:r>
    </w:p>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b/>
          <w:sz w:val="24"/>
          <w:szCs w:val="24"/>
          <w:lang w:val="en-AU"/>
        </w:rPr>
        <w:br/>
        <w:t xml:space="preserve">Public officials providing gifts, benefits and hospitality: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Ensure that any gift, benefit and hospitality is provided for a business purpose in that it furthers the conduct of official business or other legitimate organisational goals, or promotes and supports government policy objectives and priorities.</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Ensure that any costs are proportionate to the benefits obtained for the State, and would be considered reasonable in terms of community expectations.</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Ensure that when hospitality is provided, individuals demonstrate professionalism in their conduct, and uphold their obligation to extend a duty of care to other participants.</w:t>
      </w:r>
    </w:p>
    <w:p w:rsidR="00164BE1" w:rsidRPr="00164BE1" w:rsidRDefault="00164BE1" w:rsidP="00164BE1">
      <w:pPr>
        <w:pStyle w:val="BodyText"/>
        <w:spacing w:before="120"/>
        <w:rPr>
          <w:rFonts w:asciiTheme="majorHAnsi" w:hAnsiTheme="majorHAnsi" w:cstheme="majorHAnsi"/>
          <w:b/>
          <w:sz w:val="24"/>
          <w:szCs w:val="24"/>
          <w:lang w:val="en-AU"/>
        </w:rPr>
      </w:pPr>
      <w:r w:rsidRPr="00164BE1">
        <w:rPr>
          <w:rFonts w:asciiTheme="majorHAnsi" w:hAnsiTheme="majorHAnsi" w:cstheme="majorHAnsi"/>
          <w:b/>
          <w:sz w:val="24"/>
          <w:szCs w:val="24"/>
          <w:lang w:val="en-AU"/>
        </w:rPr>
        <w:br/>
        <w:t>Heads of public sector organisations:</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Establish, implement and review organisational policies and processes for the effective management of gifts, benefits and hospitality that comprehensively address these minimum accountabilities.</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Establish and maintain a register for gifts, benefits and hospitality offered to public officials that, at a minimum, records sufficient information to effectively monitor, assess and report on these minimum accountabilities.</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Communicate and make clear within the organisation that a breach of the gifts, benefits and hospitality policies or processes may constitute a breach of binding codes of conduct and may constitute criminal or corrupt conduct, and may result in disciplinary action.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rsidR="00164BE1" w:rsidRPr="00164BE1" w:rsidRDefault="00164BE1" w:rsidP="00164BE1">
      <w:pPr>
        <w:pStyle w:val="BodyText"/>
        <w:numPr>
          <w:ilvl w:val="0"/>
          <w:numId w:val="12"/>
        </w:numPr>
        <w:spacing w:before="120"/>
        <w:rPr>
          <w:rFonts w:asciiTheme="majorHAnsi" w:hAnsiTheme="majorHAnsi" w:cstheme="majorHAnsi"/>
          <w:sz w:val="24"/>
          <w:szCs w:val="24"/>
          <w:lang w:val="en-AU"/>
        </w:rPr>
      </w:pPr>
      <w:r w:rsidRPr="00164BE1">
        <w:rPr>
          <w:rFonts w:asciiTheme="majorHAnsi" w:hAnsiTheme="majorHAnsi" w:cstheme="majorHAnsi"/>
          <w:sz w:val="24"/>
          <w:szCs w:val="24"/>
          <w:lang w:val="en-AU"/>
        </w:rPr>
        <w:t xml:space="preserve">Publish the organisation’s gifts, benefits and hospitality policy and register on the organisation’s public website (applies only to organisations with an established website). The published register should cover the current and the previous financial year. </w:t>
      </w:r>
    </w:p>
    <w:p w:rsidR="00F212D4" w:rsidRPr="00164BE1" w:rsidRDefault="00F212D4" w:rsidP="00164BE1">
      <w:pPr>
        <w:pStyle w:val="OutlineNumber-Relaxed"/>
        <w:numPr>
          <w:ilvl w:val="0"/>
          <w:numId w:val="0"/>
        </w:numPr>
        <w:spacing w:line="240" w:lineRule="auto"/>
        <w:ind w:left="284"/>
        <w:rPr>
          <w:rFonts w:asciiTheme="majorHAnsi" w:hAnsiTheme="majorHAnsi" w:cstheme="majorHAnsi"/>
          <w:sz w:val="24"/>
          <w:szCs w:val="24"/>
        </w:rPr>
      </w:pPr>
    </w:p>
    <w:sectPr w:rsidR="00F212D4" w:rsidRPr="00164BE1" w:rsidSect="000C72F1">
      <w:headerReference w:type="default" r:id="rId14"/>
      <w:footerReference w:type="default" r:id="rId15"/>
      <w:headerReference w:type="first" r:id="rId16"/>
      <w:footerReference w:type="first" r:id="rId17"/>
      <w:pgSz w:w="11907" w:h="16840" w:code="9"/>
      <w:pgMar w:top="1701" w:right="851" w:bottom="1701" w:left="851" w:header="0" w:footer="284" w:gutter="0"/>
      <w:pgNumType w:fmt="upperRoman"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6A" w:rsidRDefault="00872F6A" w:rsidP="00063701">
      <w:r>
        <w:separator/>
      </w:r>
    </w:p>
    <w:p w:rsidR="00872F6A" w:rsidRDefault="00872F6A"/>
  </w:endnote>
  <w:endnote w:type="continuationSeparator" w:id="0">
    <w:p w:rsidR="00872F6A" w:rsidRDefault="00872F6A" w:rsidP="00063701">
      <w:r>
        <w:continuationSeparator/>
      </w:r>
    </w:p>
    <w:p w:rsidR="00872F6A" w:rsidRDefault="0087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altName w:val="Microsoft YaHei Light"/>
    <w:charset w:val="00"/>
    <w:family w:val="swiss"/>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852"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00"/>
      <w:gridCol w:w="986"/>
      <w:gridCol w:w="2727"/>
      <w:gridCol w:w="1110"/>
      <w:gridCol w:w="739"/>
      <w:gridCol w:w="1843"/>
    </w:tblGrid>
    <w:tr w:rsidR="000C72F1" w:rsidRPr="00682BF6" w:rsidTr="00064CA5">
      <w:trPr>
        <w:trHeight w:hRule="exact" w:val="227"/>
      </w:trPr>
      <w:tc>
        <w:tcPr>
          <w:tcW w:w="2836" w:type="dxa"/>
          <w:vMerge w:val="restart"/>
          <w:shd w:val="clear" w:color="auto" w:fill="005C91" w:themeFill="accent1" w:themeFillShade="BF"/>
          <w:vAlign w:val="center"/>
        </w:tcPr>
        <w:bookmarkStart w:id="0" w:name="PolicyType" w:displacedByCustomXml="next"/>
        <w:sdt>
          <w:sdtPr>
            <w:alias w:val="Document Type"/>
            <w:tag w:val="Document Type"/>
            <w:id w:val="1236362653"/>
            <w:placeholder>
              <w:docPart w:val="C390F0BC73754237895AE4AB33784329"/>
            </w:placeholder>
            <w:comboBox>
              <w:listItem w:displayText="[Doc Type]" w:value="[Doc Type]"/>
              <w:listItem w:displayText="Board Policy" w:value="Board Policy"/>
              <w:listItem w:displayText="Operational Policy" w:value="Operational Policy"/>
            </w:comboBox>
          </w:sdtPr>
          <w:sdtEndPr/>
          <w:sdtContent>
            <w:p w:rsidR="000C72F1" w:rsidRPr="00682BF6" w:rsidRDefault="003059EC" w:rsidP="0078482D">
              <w:pPr>
                <w:pStyle w:val="PolicyTypeMarker"/>
                <w:framePr w:hSpace="0" w:wrap="auto" w:vAnchor="margin" w:hAnchor="text" w:xAlign="left" w:yAlign="inline"/>
              </w:pPr>
              <w:r>
                <w:t>Operational Policy</w:t>
              </w:r>
            </w:p>
          </w:sdtContent>
        </w:sdt>
        <w:bookmarkEnd w:id="0" w:displacedByCustomXml="prev"/>
      </w:tc>
      <w:tc>
        <w:tcPr>
          <w:tcW w:w="992" w:type="dxa"/>
          <w:vAlign w:val="center"/>
        </w:tcPr>
        <w:p w:rsidR="000C72F1" w:rsidRPr="004672DB" w:rsidRDefault="000C72F1" w:rsidP="004672DB">
          <w:pPr>
            <w:pStyle w:val="FooterInformationTable"/>
            <w:framePr w:wrap="auto" w:yAlign="inline"/>
          </w:pPr>
          <w:r w:rsidRPr="004672DB">
            <w:t>Reference:</w:t>
          </w:r>
        </w:p>
      </w:tc>
      <w:sdt>
        <w:sdtPr>
          <w:alias w:val="Doc Number"/>
          <w:tag w:val="Doc Number"/>
          <w:id w:val="-738626925"/>
          <w:lock w:val="sdtLocked"/>
          <w:text/>
        </w:sdtPr>
        <w:sdtEndPr/>
        <w:sdtContent>
          <w:tc>
            <w:tcPr>
              <w:tcW w:w="2834" w:type="dxa"/>
              <w:vAlign w:val="center"/>
            </w:tcPr>
            <w:p w:rsidR="000C72F1" w:rsidRPr="004672DB" w:rsidRDefault="000C72F1" w:rsidP="00164BE1">
              <w:pPr>
                <w:pStyle w:val="FooterInformationTable"/>
                <w:framePr w:wrap="auto" w:yAlign="inline"/>
              </w:pPr>
              <w:r>
                <w:t>COR/17/34241</w:t>
              </w:r>
            </w:p>
          </w:tc>
        </w:sdtContent>
      </w:sdt>
      <w:tc>
        <w:tcPr>
          <w:tcW w:w="1913" w:type="dxa"/>
          <w:gridSpan w:val="2"/>
          <w:vAlign w:val="center"/>
        </w:tcPr>
        <w:p w:rsidR="000C72F1" w:rsidRPr="004672DB" w:rsidRDefault="000C72F1" w:rsidP="004672DB">
          <w:pPr>
            <w:pStyle w:val="FooterInformationTable"/>
            <w:framePr w:wrap="auto" w:yAlign="inline"/>
          </w:pPr>
          <w:r w:rsidRPr="004672DB">
            <w:t>R</w:t>
          </w:r>
          <w:r>
            <w:t xml:space="preserve">evision No. </w:t>
          </w:r>
          <w:r w:rsidR="00593D4F">
            <w:t>2</w:t>
          </w:r>
        </w:p>
      </w:tc>
      <w:tc>
        <w:tcPr>
          <w:tcW w:w="1914" w:type="dxa"/>
          <w:vAlign w:val="center"/>
        </w:tcPr>
        <w:p w:rsidR="000C72F1" w:rsidRPr="004672DB" w:rsidRDefault="000C72F1" w:rsidP="00DE3873">
          <w:pPr>
            <w:pStyle w:val="FooterInformationTable-RightAlign"/>
            <w:framePr w:wrap="auto" w:yAlign="inline"/>
          </w:pPr>
          <w:r w:rsidRPr="004672DB">
            <w:t xml:space="preserve">Page </w:t>
          </w:r>
          <w:r w:rsidRPr="004672DB">
            <w:fldChar w:fldCharType="begin"/>
          </w:r>
          <w:r w:rsidRPr="004672DB">
            <w:instrText xml:space="preserve"> PAGE  \* Arabic  \* MERGEFORMAT </w:instrText>
          </w:r>
          <w:r w:rsidRPr="004672DB">
            <w:fldChar w:fldCharType="separate"/>
          </w:r>
          <w:r w:rsidR="00F67FE9">
            <w:t>4</w:t>
          </w:r>
          <w:r w:rsidRPr="004672DB">
            <w:fldChar w:fldCharType="end"/>
          </w:r>
        </w:p>
      </w:tc>
    </w:tr>
    <w:tr w:rsidR="000C72F1" w:rsidRPr="00682BF6" w:rsidTr="00064CA5">
      <w:tc>
        <w:tcPr>
          <w:tcW w:w="2836" w:type="dxa"/>
          <w:vMerge/>
          <w:shd w:val="clear" w:color="auto" w:fill="005C91" w:themeFill="accent1" w:themeFillShade="BF"/>
          <w:vAlign w:val="center"/>
        </w:tcPr>
        <w:p w:rsidR="000C72F1" w:rsidRPr="00682BF6" w:rsidRDefault="000C72F1" w:rsidP="00461424">
          <w:pPr>
            <w:pStyle w:val="Footer"/>
            <w:framePr w:hSpace="0" w:wrap="auto" w:vAnchor="margin" w:hAnchor="text" w:xAlign="left" w:yAlign="inline"/>
            <w:spacing w:before="20" w:after="20"/>
            <w:suppressOverlap w:val="0"/>
          </w:pPr>
        </w:p>
      </w:tc>
      <w:tc>
        <w:tcPr>
          <w:tcW w:w="992" w:type="dxa"/>
          <w:vAlign w:val="center"/>
        </w:tcPr>
        <w:p w:rsidR="000C72F1" w:rsidRPr="004672DB" w:rsidRDefault="000C72F1" w:rsidP="004672DB">
          <w:pPr>
            <w:pStyle w:val="FooterInformationTable"/>
            <w:framePr w:wrap="auto" w:yAlign="inline"/>
          </w:pPr>
          <w:r w:rsidRPr="004672DB">
            <w:t>Owner:</w:t>
          </w:r>
        </w:p>
      </w:tc>
      <w:sdt>
        <w:sdtPr>
          <w:alias w:val="Owner"/>
          <w:tag w:val="Owner"/>
          <w:id w:val="-630779961"/>
          <w:lock w:val="sdtLocked"/>
          <w:placeholder>
            <w:docPart w:val="E825B61CC36A4682AF43A928E40B42B3"/>
          </w:placeholder>
          <w:text/>
        </w:sdtPr>
        <w:sdtEndPr/>
        <w:sdtContent>
          <w:tc>
            <w:tcPr>
              <w:tcW w:w="2834" w:type="dxa"/>
              <w:vAlign w:val="center"/>
            </w:tcPr>
            <w:p w:rsidR="000C72F1" w:rsidRPr="004672DB" w:rsidRDefault="000C72F1" w:rsidP="00164BE1">
              <w:pPr>
                <w:pStyle w:val="FooterInformationTable"/>
                <w:framePr w:wrap="auto" w:yAlign="inline"/>
              </w:pPr>
              <w:r>
                <w:t>Manager Governance</w:t>
              </w:r>
            </w:p>
          </w:tc>
        </w:sdtContent>
      </w:sdt>
      <w:tc>
        <w:tcPr>
          <w:tcW w:w="1135" w:type="dxa"/>
          <w:vAlign w:val="center"/>
        </w:tcPr>
        <w:p w:rsidR="000C72F1" w:rsidRPr="004672DB" w:rsidRDefault="000C72F1" w:rsidP="004672DB">
          <w:pPr>
            <w:pStyle w:val="FooterInformationTable"/>
            <w:framePr w:wrap="auto" w:yAlign="inline"/>
          </w:pPr>
          <w:r w:rsidRPr="004672DB">
            <w:t>Sponsor:</w:t>
          </w:r>
        </w:p>
      </w:tc>
      <w:sdt>
        <w:sdtPr>
          <w:id w:val="-1182586657"/>
          <w:text/>
        </w:sdtPr>
        <w:sdtEndPr/>
        <w:sdtContent>
          <w:tc>
            <w:tcPr>
              <w:tcW w:w="2692" w:type="dxa"/>
              <w:gridSpan w:val="2"/>
              <w:vAlign w:val="center"/>
            </w:tcPr>
            <w:p w:rsidR="000C72F1" w:rsidRPr="004672DB" w:rsidRDefault="00593D4F" w:rsidP="00593D4F">
              <w:pPr>
                <w:pStyle w:val="FooterInformationTable-RightAlign"/>
                <w:framePr w:wrap="auto" w:yAlign="inline"/>
              </w:pPr>
              <w:r>
                <w:t>GM Governance and Finance</w:t>
              </w:r>
            </w:p>
          </w:tc>
        </w:sdtContent>
      </w:sdt>
    </w:tr>
    <w:tr w:rsidR="000C72F1" w:rsidRPr="00682BF6" w:rsidTr="00064CA5">
      <w:tc>
        <w:tcPr>
          <w:tcW w:w="2836" w:type="dxa"/>
          <w:vMerge/>
          <w:shd w:val="clear" w:color="auto" w:fill="005C91" w:themeFill="accent1" w:themeFillShade="BF"/>
          <w:vAlign w:val="center"/>
        </w:tcPr>
        <w:p w:rsidR="000C72F1" w:rsidRPr="00682BF6" w:rsidRDefault="000C72F1" w:rsidP="0078482D">
          <w:pPr>
            <w:pStyle w:val="Footer"/>
            <w:framePr w:hSpace="0" w:wrap="auto" w:vAnchor="margin" w:hAnchor="text" w:xAlign="left" w:yAlign="inline"/>
            <w:suppressOverlap w:val="0"/>
          </w:pPr>
        </w:p>
      </w:tc>
      <w:tc>
        <w:tcPr>
          <w:tcW w:w="992" w:type="dxa"/>
          <w:vAlign w:val="center"/>
        </w:tcPr>
        <w:p w:rsidR="000C72F1" w:rsidRPr="004672DB" w:rsidRDefault="000C72F1" w:rsidP="004672DB">
          <w:pPr>
            <w:pStyle w:val="FooterInformationTable"/>
            <w:framePr w:wrap="auto" w:yAlign="inline"/>
          </w:pPr>
          <w:r w:rsidRPr="004672DB">
            <w:t>Approved:</w:t>
          </w:r>
        </w:p>
      </w:tc>
      <w:sdt>
        <w:sdtPr>
          <w:alias w:val="Date Approved"/>
          <w:tag w:val="Date Approved"/>
          <w:id w:val="14513054"/>
          <w:placeholder>
            <w:docPart w:val="8580D089D7274973899E61250176DD12"/>
          </w:placeholder>
          <w:date w:fullDate="2019-10-28T00:00:00Z">
            <w:dateFormat w:val="dd MMMM yyyy"/>
            <w:lid w:val="en-AU"/>
            <w:storeMappedDataAs w:val="dateTime"/>
            <w:calendar w:val="gregorian"/>
          </w:date>
        </w:sdtPr>
        <w:sdtEndPr/>
        <w:sdtContent>
          <w:tc>
            <w:tcPr>
              <w:tcW w:w="2834" w:type="dxa"/>
              <w:vAlign w:val="center"/>
            </w:tcPr>
            <w:p w:rsidR="000C72F1" w:rsidRPr="004672DB" w:rsidRDefault="00BD77BF" w:rsidP="00593D4F">
              <w:pPr>
                <w:pStyle w:val="FooterInformationTable"/>
                <w:framePr w:wrap="auto" w:yAlign="inline"/>
              </w:pPr>
              <w:r>
                <w:t>28 October 2019</w:t>
              </w:r>
            </w:p>
          </w:tc>
        </w:sdtContent>
      </w:sdt>
      <w:tc>
        <w:tcPr>
          <w:tcW w:w="1135" w:type="dxa"/>
          <w:vAlign w:val="center"/>
        </w:tcPr>
        <w:p w:rsidR="000C72F1" w:rsidRPr="004672DB" w:rsidRDefault="000C72F1" w:rsidP="004672DB">
          <w:pPr>
            <w:pStyle w:val="FooterInformationTable"/>
            <w:framePr w:wrap="auto" w:yAlign="inline"/>
          </w:pPr>
          <w:r w:rsidRPr="004672DB">
            <w:t>Next Review:</w:t>
          </w:r>
        </w:p>
      </w:tc>
      <w:sdt>
        <w:sdtPr>
          <w:alias w:val="Date Next Review Due"/>
          <w:tag w:val="Date Next Review Due"/>
          <w:id w:val="-827213484"/>
          <w:placeholder>
            <w:docPart w:val="FB8412DDAFFE471FA9F605B9EE544F97"/>
          </w:placeholder>
          <w:date w:fullDate="2022-11-01T00:00:00Z">
            <w:dateFormat w:val="MMMM yyyy"/>
            <w:lid w:val="en-AU"/>
            <w:storeMappedDataAs w:val="dateTime"/>
            <w:calendar w:val="gregorian"/>
          </w:date>
        </w:sdtPr>
        <w:sdtEndPr/>
        <w:sdtContent>
          <w:tc>
            <w:tcPr>
              <w:tcW w:w="2692" w:type="dxa"/>
              <w:gridSpan w:val="2"/>
              <w:vAlign w:val="center"/>
            </w:tcPr>
            <w:p w:rsidR="000C72F1" w:rsidRPr="004672DB" w:rsidRDefault="00593D4F" w:rsidP="00164BE1">
              <w:pPr>
                <w:pStyle w:val="FooterInformationTable-RightAlign"/>
                <w:framePr w:wrap="auto" w:yAlign="inline"/>
              </w:pPr>
              <w:r>
                <w:t>November 2022</w:t>
              </w:r>
            </w:p>
          </w:tc>
        </w:sdtContent>
      </w:sdt>
    </w:tr>
    <w:tr w:rsidR="000C72F1" w:rsidRPr="00682BF6" w:rsidTr="00064CA5">
      <w:trPr>
        <w:trHeight w:val="80"/>
      </w:trPr>
      <w:tc>
        <w:tcPr>
          <w:tcW w:w="2836" w:type="dxa"/>
          <w:vMerge/>
          <w:shd w:val="clear" w:color="auto" w:fill="005C91" w:themeFill="accent1" w:themeFillShade="BF"/>
          <w:vAlign w:val="center"/>
        </w:tcPr>
        <w:p w:rsidR="000C72F1" w:rsidRPr="00682BF6" w:rsidRDefault="000C72F1" w:rsidP="0078482D">
          <w:pPr>
            <w:pStyle w:val="Footer"/>
            <w:framePr w:hSpace="0" w:wrap="auto" w:vAnchor="margin" w:hAnchor="text" w:xAlign="left" w:yAlign="inline"/>
            <w:suppressOverlap w:val="0"/>
          </w:pPr>
        </w:p>
      </w:tc>
      <w:bookmarkStart w:id="1" w:name="UnclassRT"/>
      <w:tc>
        <w:tcPr>
          <w:tcW w:w="992" w:type="dxa"/>
          <w:gridSpan w:val="2"/>
          <w:vAlign w:val="center"/>
        </w:tcPr>
        <w:p w:rsidR="000C72F1" w:rsidRPr="004672DB" w:rsidRDefault="00872F6A" w:rsidP="004672DB">
          <w:pPr>
            <w:pStyle w:val="FooterInformationTable"/>
            <w:framePr w:wrap="auto" w:yAlign="inline"/>
          </w:pPr>
          <w:sdt>
            <w:sdtPr>
              <w:alias w:val="Classificaton"/>
              <w:tag w:val="Classificaton"/>
              <w:id w:val="810596728"/>
              <w:dropDownList>
                <w:listItem w:displayText="[Select Security Marking]" w:value="[Select Security Marking]"/>
                <w:listItem w:displayText="Protected: Sensitive" w:value="Protected: Sensitive"/>
                <w:listItem w:displayText="Protected: Sensitive Legal" w:value="Protected: Sensitive Legal"/>
                <w:listItem w:displayText="Protected: Sensitive Personal" w:value="Protected: Sensitive Personal"/>
                <w:listItem w:displayText="Unclassified" w:value="Unclassified"/>
                <w:listItem w:displayText="Unclassified: For Official Use Only (FOUO)" w:value="Unclassified: For Official Use Only (FOUO)"/>
                <w:listItem w:displayText="Unclassified: Sensitive" w:value="Unclassified: Sensitive"/>
                <w:listItem w:displayText="Unclassified: Sensitive Legal" w:value="Unclassified: Sensitive Legal"/>
                <w:listItem w:displayText="Unclassified: Sensitive Personal" w:value="Unclassified: Sensitive Personal"/>
              </w:dropDownList>
            </w:sdtPr>
            <w:sdtEndPr/>
            <w:sdtContent>
              <w:r w:rsidR="00E628D7">
                <w:t>Unclassified</w:t>
              </w:r>
            </w:sdtContent>
          </w:sdt>
          <w:bookmarkEnd w:id="1"/>
        </w:p>
      </w:tc>
      <w:tc>
        <w:tcPr>
          <w:tcW w:w="3827" w:type="dxa"/>
          <w:gridSpan w:val="3"/>
          <w:vAlign w:val="center"/>
        </w:tcPr>
        <w:p w:rsidR="000C72F1" w:rsidRPr="004672DB" w:rsidRDefault="000C72F1" w:rsidP="00286F3E">
          <w:pPr>
            <w:pStyle w:val="FooterPrintControlWarning"/>
            <w:framePr w:wrap="auto" w:yAlign="inline"/>
          </w:pPr>
          <w:r w:rsidRPr="004672DB">
            <w:t>Document becomes uncontrolled when printed</w:t>
          </w:r>
        </w:p>
      </w:tc>
    </w:tr>
    <w:tr w:rsidR="000C72F1" w:rsidRPr="00682BF6" w:rsidTr="00064CA5">
      <w:trPr>
        <w:trHeight w:hRule="exact" w:val="567"/>
      </w:trPr>
      <w:tc>
        <w:tcPr>
          <w:tcW w:w="2836" w:type="dxa"/>
          <w:shd w:val="clear" w:color="auto" w:fill="auto"/>
          <w:vAlign w:val="center"/>
        </w:tcPr>
        <w:p w:rsidR="000C72F1" w:rsidRPr="00682BF6" w:rsidRDefault="000C72F1" w:rsidP="0078482D">
          <w:pPr>
            <w:pStyle w:val="Footer"/>
            <w:framePr w:hSpace="0" w:wrap="auto" w:vAnchor="margin" w:hAnchor="text" w:xAlign="left" w:yAlign="inline"/>
            <w:suppressOverlap w:val="0"/>
          </w:pPr>
        </w:p>
      </w:tc>
      <w:tc>
        <w:tcPr>
          <w:tcW w:w="992" w:type="dxa"/>
          <w:gridSpan w:val="5"/>
          <w:shd w:val="clear" w:color="auto" w:fill="auto"/>
          <w:vAlign w:val="center"/>
        </w:tcPr>
        <w:p w:rsidR="000C72F1" w:rsidRPr="00682BF6" w:rsidRDefault="000C72F1" w:rsidP="00643311">
          <w:pPr>
            <w:pStyle w:val="Footer"/>
            <w:framePr w:hSpace="0" w:wrap="auto" w:vAnchor="margin" w:hAnchor="text" w:xAlign="left" w:yAlign="inline"/>
            <w:suppressOverlap w:val="0"/>
            <w:jc w:val="right"/>
          </w:pPr>
        </w:p>
      </w:tc>
    </w:tr>
  </w:tbl>
  <w:p w:rsidR="000C72F1" w:rsidRPr="009E08A0" w:rsidRDefault="000C72F1" w:rsidP="009E08A0">
    <w:pPr>
      <w:pStyle w:val="Footer"/>
      <w:framePr w:wrap="around"/>
    </w:pPr>
    <w:r w:rsidRPr="009E08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F1" w:rsidRPr="008E0802" w:rsidRDefault="000C72F1" w:rsidP="00200FD6">
    <w:pPr>
      <w:pStyle w:val="Footer"/>
      <w:framePr w:wrap="around"/>
    </w:pPr>
    <w:r w:rsidRPr="008E0802">
      <w:fldChar w:fldCharType="begin"/>
    </w:r>
    <w:r>
      <w:instrText xml:space="preserve"> REF UnclassMemo \h  \* MERGEFORMAT </w:instrText>
    </w:r>
    <w:r w:rsidRPr="008E0802">
      <w:fldChar w:fldCharType="separate"/>
    </w:r>
    <w:r>
      <w:rPr>
        <w:b/>
        <w:bCs/>
        <w:lang w:val="en-US"/>
      </w:rPr>
      <w:t>Error! Reference source not found.</w:t>
    </w:r>
    <w:r w:rsidRPr="008E0802">
      <w:fldChar w:fldCharType="end"/>
    </w:r>
  </w:p>
  <w:p w:rsidR="000C72F1" w:rsidRPr="003663EB" w:rsidRDefault="000C72F1" w:rsidP="00200FD6">
    <w:pPr>
      <w:pStyle w:val="Footer"/>
      <w:framePr w:wrap="around"/>
    </w:pPr>
    <w:r w:rsidRPr="003663EB">
      <w:t>Title:</w:t>
    </w:r>
    <w:r>
      <w:t xml:space="preserve"> </w:t>
    </w:r>
    <w:sdt>
      <w:sdtPr>
        <w:alias w:val="Title"/>
        <w:tag w:val=""/>
        <w:id w:val="-1977221556"/>
        <w:dataBinding w:prefixMappings="xmlns:ns0='http://purl.org/dc/elements/1.1/' xmlns:ns1='http://schemas.openxmlformats.org/package/2006/metadata/core-properties' " w:xpath="/ns1:coreProperties[1]/ns0:title[1]" w:storeItemID="{6C3C8BC8-F283-45AE-878A-BAB7291924A1}"/>
        <w:text/>
      </w:sdtPr>
      <w:sdtEndPr/>
      <w:sdtContent>
        <w:r>
          <w:t>Gifts, Benefits and Hospitality Policy</w:t>
        </w:r>
      </w:sdtContent>
    </w:sdt>
    <w:r w:rsidRPr="003663EB">
      <w:tab/>
      <w:t>Revision No.</w:t>
    </w:r>
    <w:r>
      <w:t xml:space="preserve"> </w:t>
    </w:r>
    <w:sdt>
      <w:sdtPr>
        <w:id w:val="336429341"/>
        <w:placeholder>
          <w:docPart w:val="2E1D5F1410C84B4BADBCECF52C45F4EE"/>
        </w:placeholder>
        <w:showingPlcHdr/>
        <w:text/>
      </w:sdtPr>
      <w:sdtEndPr/>
      <w:sdtContent>
        <w:r>
          <w:rPr>
            <w:rStyle w:val="PlaceholderText"/>
            <w:color w:val="FF0000"/>
          </w:rPr>
          <w:t>&lt;&lt;X&gt;&gt;</w:t>
        </w:r>
      </w:sdtContent>
    </w:sdt>
    <w:r w:rsidRPr="003663EB">
      <w:tab/>
      <w:t xml:space="preserve">Owner: </w:t>
    </w:r>
    <w:sdt>
      <w:sdtPr>
        <w:id w:val="-1875923355"/>
        <w:placeholder>
          <w:docPart w:val="272A1AD063484EDBA70CA71CC14ABAE6"/>
        </w:placeholder>
        <w:showingPlcHdr/>
        <w:text/>
      </w:sdtPr>
      <w:sdtEndPr/>
      <w:sdtContent>
        <w:r w:rsidRPr="003B0A71">
          <w:rPr>
            <w:rStyle w:val="PlaceholderText"/>
            <w:color w:val="FF0000"/>
          </w:rPr>
          <w:t>&lt;&lt;Manager XXXX&gt;&gt;</w:t>
        </w:r>
      </w:sdtContent>
    </w:sdt>
  </w:p>
  <w:p w:rsidR="000C72F1" w:rsidRPr="003663EB" w:rsidRDefault="000C72F1" w:rsidP="00200FD6">
    <w:pPr>
      <w:pStyle w:val="Footer"/>
      <w:framePr w:wrap="around"/>
    </w:pPr>
    <w:r w:rsidRPr="003663EB">
      <w:t xml:space="preserve">Date of Approval: </w:t>
    </w:r>
    <w:sdt>
      <w:sdtPr>
        <w:id w:val="-1417320109"/>
        <w:placeholder>
          <w:docPart w:val="AFB31E835B77493BB4DDC20C8FFFDA7C"/>
        </w:placeholder>
        <w:showingPlcHdr/>
        <w:text/>
      </w:sdtPr>
      <w:sdtEndPr/>
      <w:sdtContent>
        <w:r>
          <w:rPr>
            <w:rStyle w:val="PlaceholderText"/>
            <w:color w:val="FF0000"/>
          </w:rPr>
          <w:t>&lt;&lt;Date&gt;&gt;</w:t>
        </w:r>
      </w:sdtContent>
    </w:sdt>
    <w:r w:rsidRPr="003663EB">
      <w:tab/>
      <w:t xml:space="preserve">Next Review Date: </w:t>
    </w:r>
    <w:sdt>
      <w:sdtPr>
        <w:id w:val="-47919635"/>
        <w:placeholder>
          <w:docPart w:val="51D230A32FE0427EA72DBFB55B54B6FC"/>
        </w:placeholder>
        <w:showingPlcHdr/>
        <w:text/>
      </w:sdtPr>
      <w:sdtEndPr/>
      <w:sdtContent>
        <w:r>
          <w:rPr>
            <w:rStyle w:val="PlaceholderText"/>
            <w:color w:val="FF0000"/>
          </w:rPr>
          <w:t>&lt;&lt;Date&gt;&gt;</w:t>
        </w:r>
      </w:sdtContent>
    </w:sdt>
    <w:r w:rsidRPr="003663EB">
      <w:tab/>
      <w:t xml:space="preserve">Sponsor: </w:t>
    </w:r>
    <w:sdt>
      <w:sdtPr>
        <w:id w:val="1806039564"/>
        <w:placeholder>
          <w:docPart w:val="D62122E755D94AB9921DF8A5C9200B23"/>
        </w:placeholder>
        <w:showingPlcHdr/>
        <w:text/>
      </w:sdtPr>
      <w:sdtEndPr/>
      <w:sdtContent>
        <w:r w:rsidRPr="003B0A71">
          <w:rPr>
            <w:rStyle w:val="PlaceholderText"/>
            <w:color w:val="FF0000"/>
          </w:rPr>
          <w:t>&lt;&lt;</w:t>
        </w:r>
        <w:r>
          <w:rPr>
            <w:rStyle w:val="PlaceholderText"/>
            <w:color w:val="FF0000"/>
          </w:rPr>
          <w:t xml:space="preserve">General </w:t>
        </w:r>
        <w:r w:rsidRPr="003B0A71">
          <w:rPr>
            <w:rStyle w:val="PlaceholderText"/>
            <w:color w:val="FF0000"/>
          </w:rPr>
          <w:t>Manager XXXX&gt;&gt;</w:t>
        </w:r>
      </w:sdtContent>
    </w:sdt>
  </w:p>
  <w:p w:rsidR="000C72F1" w:rsidRPr="003663EB" w:rsidRDefault="00872F6A" w:rsidP="00200FD6">
    <w:pPr>
      <w:pStyle w:val="Footer"/>
      <w:framePr w:wrap="around"/>
    </w:pPr>
    <w:sdt>
      <w:sdtPr>
        <w:id w:val="15197941"/>
        <w:placeholder>
          <w:docPart w:val="86BD36569FB147F280232BE06D250AA9"/>
        </w:placeholder>
        <w:showingPlcHdr/>
        <w:text/>
      </w:sdtPr>
      <w:sdtEndPr/>
      <w:sdtContent>
        <w:r w:rsidR="000C72F1">
          <w:rPr>
            <w:rStyle w:val="PlaceholderText"/>
            <w:color w:val="FF0000"/>
          </w:rPr>
          <w:t>&lt;&lt;COR Number&gt;&gt;</w:t>
        </w:r>
      </w:sdtContent>
    </w:sdt>
    <w:r w:rsidR="000C72F1" w:rsidRPr="003663EB">
      <w:tab/>
    </w:r>
    <w:r w:rsidR="000C72F1" w:rsidRPr="003663EB">
      <w:rPr>
        <w:b/>
      </w:rPr>
      <w:t>When printed document becomes UNCONTROLLED</w:t>
    </w:r>
    <w:r w:rsidR="000C72F1" w:rsidRPr="003663EB">
      <w:tab/>
      <w:t xml:space="preserve">Page </w:t>
    </w:r>
    <w:r w:rsidR="000C72F1" w:rsidRPr="003663EB">
      <w:fldChar w:fldCharType="begin"/>
    </w:r>
    <w:r w:rsidR="000C72F1" w:rsidRPr="003663EB">
      <w:instrText xml:space="preserve"> PAGE   \* MERGEFORMAT </w:instrText>
    </w:r>
    <w:r w:rsidR="000C72F1" w:rsidRPr="003663EB">
      <w:fldChar w:fldCharType="separate"/>
    </w:r>
    <w:r w:rsidR="000C72F1">
      <w:t>I</w:t>
    </w:r>
    <w:r w:rsidR="000C72F1" w:rsidRPr="003663EB">
      <w:fldChar w:fldCharType="end"/>
    </w:r>
  </w:p>
  <w:p w:rsidR="000C72F1" w:rsidRDefault="000C72F1" w:rsidP="00200FD6">
    <w:pPr>
      <w:pStyle w:val="Footer"/>
      <w:framePr w:wrap="around"/>
    </w:pPr>
    <w:r>
      <mc:AlternateContent>
        <mc:Choice Requires="wps">
          <w:drawing>
            <wp:anchor distT="0" distB="0" distL="114300" distR="114300" simplePos="0" relativeHeight="251680256" behindDoc="0" locked="0" layoutInCell="1" allowOverlap="1" wp14:anchorId="54904CEC" wp14:editId="3EE3D0F4">
              <wp:simplePos x="0" y="0"/>
              <wp:positionH relativeFrom="page">
                <wp:align>center</wp:align>
              </wp:positionH>
              <wp:positionV relativeFrom="page">
                <wp:posOffset>10437495</wp:posOffset>
              </wp:positionV>
              <wp:extent cx="6480000" cy="0"/>
              <wp:effectExtent l="38100" t="38100" r="54610" b="95250"/>
              <wp:wrapNone/>
              <wp:docPr id="109" name="Straight Connector 109"/>
              <wp:cNvGraphicFramePr/>
              <a:graphic xmlns:a="http://schemas.openxmlformats.org/drawingml/2006/main">
                <a:graphicData uri="http://schemas.microsoft.com/office/word/2010/wordprocessingShape">
                  <wps:wsp>
                    <wps:cNvCnPr/>
                    <wps:spPr>
                      <a:xfrm>
                        <a:off x="0" y="0"/>
                        <a:ext cx="648000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2ADDAA" id="Straight Connector 109" o:spid="_x0000_s1026" style="position:absolute;z-index:251680256;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821.85pt" to="510.2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BvxAEAANcDAAAOAAAAZHJzL2Uyb0RvYy54bWysU8GOEzEMvSPxD1HudKYFVsuo0z10BRcE&#10;FQsfkM04nUhJHDmh0/49TtrOrgBpJcQcMkns9+xnO+u7o3fiAJQshl4uF60UEDQONux7+eP7xze3&#10;UqSswqAcBujlCZK827x+tZ5iBysc0Q1AgklC6qbYyzHn2DVN0iN4lRYYIbDRIHmV+Uj7ZiA1Mbt3&#10;zaptb5oJaYiEGlLi2/uzUW4qvzGg81djEmThesm55bpSXR/L2mzWqtuTiqPVlzTUP2ThlQ0cdKa6&#10;V1mJn2T/oPJWEyY0eaHRN2iM1VA1sJpl+5uah1FFqFq4OCnOZUr/j1Z/OexI2IF7136QIijPTXrI&#10;pOx+zGKLIXAJkUSxcq2mmDqGbMOOLqcUd1SEHw358mdJ4ljre5rrC8csNF/evLtt+ZNCX23NEzBS&#10;yp8AvSibXjobinTVqcPnlDkYu15dyrULYmLGt+9rD5uS2DmVussnB2evb2BYHgdfVbY6WLB1JA6K&#10;R0JpDSEvizTmd4G9C8xY52Zg+zLw4l+gUIduBi9fBs+IGhlDnsHeBqS/EeTjNWVz9uf0n+ku20cc&#10;TrVJ1cDTUxVeJr2M5/NzhT+9x80vAAAA//8DAFBLAwQUAAYACAAAACEAb0vrd+AAAAALAQAADwAA&#10;AGRycy9kb3ducmV2LnhtbEyPT0sDMRDF70K/Q5iCF7FJq25l3WwpBS2CoG29eEs3s3/oZrIkaXf7&#10;7ZseRI/z3uPN72WLwbTshM43liRMJwIYUmF1Q5WE793r/TMwHxRp1VpCCWf0sMhHN5lKte1pg6dt&#10;qFgsIZ8qCXUIXcq5L2o0yk9shxS90jqjQjxdxbVTfSw3LZ8JkXCjGoofatXhqsbisD0aCfNPXa7v&#10;Ppa7wn39vJWrpN+8r3spb8fD8gVYwCH8heGKH9Ehj0x7eyTtWSshDglRTR4f5sCuvpiJJ2D7X43n&#10;Gf+/Ib8AAAD//wMAUEsBAi0AFAAGAAgAAAAhALaDOJL+AAAA4QEAABMAAAAAAAAAAAAAAAAAAAAA&#10;AFtDb250ZW50X1R5cGVzXS54bWxQSwECLQAUAAYACAAAACEAOP0h/9YAAACUAQAACwAAAAAAAAAA&#10;AAAAAAAvAQAAX3JlbHMvLnJlbHNQSwECLQAUAAYACAAAACEAuoAAb8QBAADXAwAADgAAAAAAAAAA&#10;AAAAAAAuAgAAZHJzL2Uyb0RvYy54bWxQSwECLQAUAAYACAAAACEAb0vrd+AAAAALAQAADwAAAAAA&#10;AAAAAAAAAAAeBAAAZHJzL2Rvd25yZXYueG1sUEsFBgAAAAAEAAQA8wAAACsFAAAAAA==&#10;" strokecolor="#007cc2 [3204]" strokeweight=".5pt">
              <v:shadow on="t" color="black" opacity="24903f" origin=",.5" offset="0,.55556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6A" w:rsidRDefault="00872F6A" w:rsidP="00063701">
      <w:r>
        <w:separator/>
      </w:r>
    </w:p>
    <w:p w:rsidR="00872F6A" w:rsidRDefault="00872F6A"/>
  </w:footnote>
  <w:footnote w:type="continuationSeparator" w:id="0">
    <w:p w:rsidR="00872F6A" w:rsidRDefault="00872F6A" w:rsidP="00063701">
      <w:r>
        <w:continuationSeparator/>
      </w:r>
    </w:p>
    <w:p w:rsidR="00872F6A" w:rsidRDefault="00872F6A"/>
  </w:footnote>
  <w:footnote w:id="1">
    <w:p w:rsidR="000C72F1" w:rsidRPr="00164BE1" w:rsidRDefault="000C72F1">
      <w:pPr>
        <w:pStyle w:val="FootnoteText"/>
        <w:rPr>
          <w:sz w:val="18"/>
          <w:lang w:val="en-US"/>
        </w:rPr>
      </w:pPr>
      <w:r w:rsidRPr="00164BE1">
        <w:rPr>
          <w:rStyle w:val="FootnoteReference"/>
          <w:sz w:val="18"/>
        </w:rPr>
        <w:footnoteRef/>
      </w:r>
      <w:r w:rsidRPr="00164BE1">
        <w:rPr>
          <w:sz w:val="18"/>
        </w:rPr>
        <w:t xml:space="preserve">   Note the application of clause 1.4 of the Code of conduct for Victorian public sector employees to the engagement of contractors and consultants. Contractors and consultants are only bound by the code if explicitly required by their contract for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0C72F1" w:rsidTr="000C72F1">
      <w:trPr>
        <w:trHeight w:hRule="exact" w:val="567"/>
      </w:trPr>
      <w:tc>
        <w:tcPr>
          <w:tcW w:w="5097" w:type="dxa"/>
          <w:shd w:val="clear" w:color="auto" w:fill="auto"/>
          <w:vAlign w:val="center"/>
        </w:tcPr>
        <w:p w:rsidR="000C72F1" w:rsidRDefault="000C72F1" w:rsidP="00E86370">
          <w:pPr>
            <w:pStyle w:val="Header"/>
            <w:spacing w:before="0" w:after="0" w:line="240" w:lineRule="auto"/>
            <w:rPr>
              <w:noProof/>
              <w:lang w:eastAsia="en-AU"/>
            </w:rPr>
          </w:pPr>
        </w:p>
      </w:tc>
      <w:tc>
        <w:tcPr>
          <w:tcW w:w="5098" w:type="dxa"/>
          <w:shd w:val="clear" w:color="auto" w:fill="auto"/>
          <w:vAlign w:val="center"/>
        </w:tcPr>
        <w:p w:rsidR="000C72F1" w:rsidRPr="000C3C10" w:rsidRDefault="000C72F1" w:rsidP="00E86370">
          <w:pPr>
            <w:pStyle w:val="Header"/>
            <w:spacing w:before="0" w:after="0" w:line="240" w:lineRule="auto"/>
            <w:jc w:val="center"/>
          </w:pPr>
        </w:p>
      </w:tc>
    </w:tr>
    <w:tr w:rsidR="000C72F1" w:rsidTr="000C72F1">
      <w:tc>
        <w:tcPr>
          <w:tcW w:w="5097" w:type="dxa"/>
          <w:shd w:val="clear" w:color="auto" w:fill="auto"/>
          <w:vAlign w:val="center"/>
        </w:tcPr>
        <w:p w:rsidR="000C72F1" w:rsidRDefault="000C72F1" w:rsidP="00E86370">
          <w:pPr>
            <w:pStyle w:val="Header"/>
            <w:spacing w:before="0" w:after="0" w:line="240" w:lineRule="auto"/>
          </w:pPr>
          <w:r>
            <w:rPr>
              <w:noProof/>
              <w:lang w:eastAsia="en-AU"/>
            </w:rPr>
            <w:drawing>
              <wp:inline distT="0" distB="0" distL="0" distR="0" wp14:anchorId="41E2AAB2" wp14:editId="2FBB4DF9">
                <wp:extent cx="1731600" cy="54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931GW-logo-cleanup-long---BLUE.png"/>
                        <pic:cNvPicPr/>
                      </pic:nvPicPr>
                      <pic:blipFill>
                        <a:blip r:embed="rId1">
                          <a:extLst>
                            <a:ext uri="{28A0092B-C50C-407E-A947-70E740481C1C}">
                              <a14:useLocalDpi xmlns:a14="http://schemas.microsoft.com/office/drawing/2010/main" val="0"/>
                            </a:ext>
                          </a:extLst>
                        </a:blip>
                        <a:stretch>
                          <a:fillRect/>
                        </a:stretch>
                      </pic:blipFill>
                      <pic:spPr>
                        <a:xfrm>
                          <a:off x="0" y="0"/>
                          <a:ext cx="1731600" cy="540000"/>
                        </a:xfrm>
                        <a:prstGeom prst="rect">
                          <a:avLst/>
                        </a:prstGeom>
                      </pic:spPr>
                    </pic:pic>
                  </a:graphicData>
                </a:graphic>
              </wp:inline>
            </w:drawing>
          </w:r>
        </w:p>
      </w:tc>
      <w:tc>
        <w:tcPr>
          <w:tcW w:w="5098" w:type="dxa"/>
          <w:shd w:val="clear" w:color="auto" w:fill="auto"/>
        </w:tcPr>
        <w:p w:rsidR="000C72F1" w:rsidRPr="009A4601" w:rsidRDefault="000C72F1" w:rsidP="000C72F1">
          <w:pPr>
            <w:pStyle w:val="Header"/>
            <w:spacing w:before="0" w:after="0" w:line="240" w:lineRule="auto"/>
            <w:jc w:val="right"/>
            <w:rPr>
              <w:color w:val="FFFFFF" w:themeColor="background1"/>
            </w:rPr>
          </w:pPr>
          <w:r w:rsidRPr="000C3C10">
            <w:rPr>
              <w:noProof/>
              <w:lang w:eastAsia="en-AU"/>
            </w:rPr>
            <w:drawing>
              <wp:inline distT="0" distB="0" distL="0" distR="0" wp14:anchorId="3FAB2518" wp14:editId="23BAE92E">
                <wp:extent cx="268560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ll values - blue.png"/>
                        <pic:cNvPicPr/>
                      </pic:nvPicPr>
                      <pic:blipFill rotWithShape="1">
                        <a:blip r:embed="rId2">
                          <a:extLst>
                            <a:ext uri="{28A0092B-C50C-407E-A947-70E740481C1C}">
                              <a14:useLocalDpi xmlns:a14="http://schemas.microsoft.com/office/drawing/2010/main" val="0"/>
                            </a:ext>
                          </a:extLst>
                        </a:blip>
                        <a:srcRect t="-389" b="16407"/>
                        <a:stretch/>
                      </pic:blipFill>
                      <pic:spPr bwMode="auto">
                        <a:xfrm>
                          <a:off x="0" y="0"/>
                          <a:ext cx="2685600" cy="360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0C72F1" w:rsidRPr="00FC54EA" w:rsidRDefault="000C72F1" w:rsidP="00E86370">
    <w:pPr>
      <w:pStyle w:val="Tiny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F1" w:rsidRPr="008E0802" w:rsidRDefault="000C72F1" w:rsidP="00063701">
    <w:pPr>
      <w:pStyle w:val="Header"/>
    </w:pPr>
    <w:r w:rsidRPr="008E0802">
      <w:fldChar w:fldCharType="begin"/>
    </w:r>
    <w:r>
      <w:instrText xml:space="preserve"> REF UnclassMemo \h  \* MERGEFORMAT </w:instrText>
    </w:r>
    <w:r w:rsidRPr="008E0802">
      <w:fldChar w:fldCharType="separate"/>
    </w:r>
    <w:r>
      <w:rPr>
        <w:b/>
        <w:bCs/>
        <w:lang w:val="en-US"/>
      </w:rPr>
      <w:t>Error! Reference source not found.</w:t>
    </w:r>
    <w:r w:rsidRPr="008E080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0C"/>
    <w:multiLevelType w:val="hybridMultilevel"/>
    <w:tmpl w:val="94C84948"/>
    <w:lvl w:ilvl="0" w:tplc="32D6AF3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A3EE2"/>
    <w:multiLevelType w:val="hybridMultilevel"/>
    <w:tmpl w:val="32B48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1E461B"/>
    <w:multiLevelType w:val="hybridMultilevel"/>
    <w:tmpl w:val="73A29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E312E29"/>
    <w:multiLevelType w:val="hybridMultilevel"/>
    <w:tmpl w:val="07EE9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704ADC"/>
    <w:multiLevelType w:val="hybridMultilevel"/>
    <w:tmpl w:val="833899C4"/>
    <w:lvl w:ilvl="0" w:tplc="270A0C3A">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D7468E"/>
    <w:multiLevelType w:val="hybridMultilevel"/>
    <w:tmpl w:val="D93C5F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20F0928"/>
    <w:multiLevelType w:val="multilevel"/>
    <w:tmpl w:val="8D267B1E"/>
    <w:lvl w:ilvl="0">
      <w:start w:val="1"/>
      <w:numFmt w:val="decimal"/>
      <w:pStyle w:val="OutlineNumber"/>
      <w:lvlText w:val="%1."/>
      <w:lvlJc w:val="left"/>
      <w:pPr>
        <w:ind w:left="284" w:hanging="284"/>
      </w:pPr>
      <w:rPr>
        <w:rFonts w:hint="default"/>
      </w:rPr>
    </w:lvl>
    <w:lvl w:ilvl="1">
      <w:start w:val="1"/>
      <w:numFmt w:val="decimal"/>
      <w:isLgl/>
      <w:lvlText w:val="%1.%2."/>
      <w:lvlJc w:val="left"/>
      <w:pPr>
        <w:tabs>
          <w:tab w:val="num" w:pos="425"/>
        </w:tabs>
        <w:ind w:left="284" w:hanging="284"/>
      </w:pPr>
      <w:rPr>
        <w:rFonts w:hint="default"/>
      </w:rPr>
    </w:lvl>
    <w:lvl w:ilvl="2">
      <w:start w:val="1"/>
      <w:numFmt w:val="decimal"/>
      <w:lvlText w:val="%1.%2.%3."/>
      <w:lvlJc w:val="left"/>
      <w:pPr>
        <w:tabs>
          <w:tab w:val="num" w:pos="567"/>
        </w:tabs>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7" w15:restartNumberingAfterBreak="0">
    <w:nsid w:val="1283668F"/>
    <w:multiLevelType w:val="hybridMultilevel"/>
    <w:tmpl w:val="3DAA1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932232"/>
    <w:multiLevelType w:val="hybridMultilevel"/>
    <w:tmpl w:val="126C05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916" w:hanging="360"/>
      </w:pPr>
      <w:rPr>
        <w:rFonts w:ascii="Courier New" w:hAnsi="Courier New" w:cs="Courier New" w:hint="default"/>
      </w:rPr>
    </w:lvl>
    <w:lvl w:ilvl="2" w:tplc="0C090005">
      <w:start w:val="1"/>
      <w:numFmt w:val="bullet"/>
      <w:lvlText w:val=""/>
      <w:lvlJc w:val="left"/>
      <w:pPr>
        <w:ind w:left="4636" w:hanging="360"/>
      </w:pPr>
      <w:rPr>
        <w:rFonts w:ascii="Wingdings" w:hAnsi="Wingdings" w:hint="default"/>
      </w:rPr>
    </w:lvl>
    <w:lvl w:ilvl="3" w:tplc="0C090001">
      <w:start w:val="1"/>
      <w:numFmt w:val="bullet"/>
      <w:lvlText w:val=""/>
      <w:lvlJc w:val="left"/>
      <w:pPr>
        <w:ind w:left="5356" w:hanging="360"/>
      </w:pPr>
      <w:rPr>
        <w:rFonts w:ascii="Symbol" w:hAnsi="Symbol" w:hint="default"/>
      </w:rPr>
    </w:lvl>
    <w:lvl w:ilvl="4" w:tplc="0C090003">
      <w:start w:val="1"/>
      <w:numFmt w:val="bullet"/>
      <w:lvlText w:val="o"/>
      <w:lvlJc w:val="left"/>
      <w:pPr>
        <w:ind w:left="6076" w:hanging="360"/>
      </w:pPr>
      <w:rPr>
        <w:rFonts w:ascii="Courier New" w:hAnsi="Courier New" w:cs="Courier New" w:hint="default"/>
      </w:rPr>
    </w:lvl>
    <w:lvl w:ilvl="5" w:tplc="0C090005">
      <w:start w:val="1"/>
      <w:numFmt w:val="bullet"/>
      <w:lvlText w:val=""/>
      <w:lvlJc w:val="left"/>
      <w:pPr>
        <w:ind w:left="6796" w:hanging="360"/>
      </w:pPr>
      <w:rPr>
        <w:rFonts w:ascii="Wingdings" w:hAnsi="Wingdings" w:hint="default"/>
      </w:rPr>
    </w:lvl>
    <w:lvl w:ilvl="6" w:tplc="0C090001">
      <w:start w:val="1"/>
      <w:numFmt w:val="bullet"/>
      <w:lvlText w:val=""/>
      <w:lvlJc w:val="left"/>
      <w:pPr>
        <w:ind w:left="7516" w:hanging="360"/>
      </w:pPr>
      <w:rPr>
        <w:rFonts w:ascii="Symbol" w:hAnsi="Symbol" w:hint="default"/>
      </w:rPr>
    </w:lvl>
    <w:lvl w:ilvl="7" w:tplc="0C090003">
      <w:start w:val="1"/>
      <w:numFmt w:val="bullet"/>
      <w:lvlText w:val="o"/>
      <w:lvlJc w:val="left"/>
      <w:pPr>
        <w:ind w:left="8236" w:hanging="360"/>
      </w:pPr>
      <w:rPr>
        <w:rFonts w:ascii="Courier New" w:hAnsi="Courier New" w:cs="Courier New" w:hint="default"/>
      </w:rPr>
    </w:lvl>
    <w:lvl w:ilvl="8" w:tplc="0C090005">
      <w:start w:val="1"/>
      <w:numFmt w:val="bullet"/>
      <w:lvlText w:val=""/>
      <w:lvlJc w:val="left"/>
      <w:pPr>
        <w:ind w:left="8956" w:hanging="360"/>
      </w:pPr>
      <w:rPr>
        <w:rFonts w:ascii="Wingdings" w:hAnsi="Wingdings" w:hint="default"/>
      </w:rPr>
    </w:lvl>
  </w:abstractNum>
  <w:abstractNum w:abstractNumId="9" w15:restartNumberingAfterBreak="0">
    <w:nsid w:val="194A695C"/>
    <w:multiLevelType w:val="multilevel"/>
    <w:tmpl w:val="D0B080C8"/>
    <w:name w:val="DEPITableBullets"/>
    <w:lvl w:ilvl="0">
      <w:start w:val="1"/>
      <w:numFmt w:val="bullet"/>
      <w:pStyle w:val="TableTextBullet"/>
      <w:lvlText w:val="•"/>
      <w:lvlJc w:val="left"/>
      <w:pPr>
        <w:tabs>
          <w:tab w:val="num" w:pos="284"/>
        </w:tabs>
        <w:ind w:left="284" w:hanging="171"/>
      </w:pPr>
      <w:rPr>
        <w:rFonts w:asciiTheme="majorHAnsi" w:hAnsiTheme="majorHAnsi" w:cstheme="majorHAnsi" w:hint="default"/>
        <w:b w:val="0"/>
        <w:i w:val="0"/>
        <w:color w:val="424242" w:themeColor="text1"/>
        <w:position w:val="0"/>
        <w:sz w:val="20"/>
        <w:szCs w:val="20"/>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352B6E16"/>
    <w:multiLevelType w:val="hybridMultilevel"/>
    <w:tmpl w:val="44DE46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69E1C2C"/>
    <w:multiLevelType w:val="hybridMultilevel"/>
    <w:tmpl w:val="E06646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CB0728D"/>
    <w:multiLevelType w:val="hybridMultilevel"/>
    <w:tmpl w:val="D99A89AC"/>
    <w:lvl w:ilvl="0" w:tplc="32D6AF3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B32D23"/>
    <w:multiLevelType w:val="hybridMultilevel"/>
    <w:tmpl w:val="98E2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E5776"/>
    <w:multiLevelType w:val="multilevel"/>
    <w:tmpl w:val="6F9C2884"/>
    <w:lvl w:ilvl="0">
      <w:start w:val="1"/>
      <w:numFmt w:val="bullet"/>
      <w:pStyle w:val="Outline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52734D93"/>
    <w:multiLevelType w:val="hybridMultilevel"/>
    <w:tmpl w:val="98C2D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2009" w:hanging="360"/>
      </w:pPr>
      <w:rPr>
        <w:rFonts w:ascii="Courier New" w:hAnsi="Courier New" w:cs="Courier New" w:hint="default"/>
      </w:rPr>
    </w:lvl>
    <w:lvl w:ilvl="2" w:tplc="0C090005">
      <w:start w:val="1"/>
      <w:numFmt w:val="bullet"/>
      <w:lvlText w:val=""/>
      <w:lvlJc w:val="left"/>
      <w:pPr>
        <w:ind w:left="2729" w:hanging="360"/>
      </w:pPr>
      <w:rPr>
        <w:rFonts w:ascii="Wingdings" w:hAnsi="Wingdings" w:hint="default"/>
      </w:rPr>
    </w:lvl>
    <w:lvl w:ilvl="3" w:tplc="0C090001">
      <w:start w:val="1"/>
      <w:numFmt w:val="bullet"/>
      <w:lvlText w:val=""/>
      <w:lvlJc w:val="left"/>
      <w:pPr>
        <w:ind w:left="3449" w:hanging="360"/>
      </w:pPr>
      <w:rPr>
        <w:rFonts w:ascii="Symbol" w:hAnsi="Symbol" w:hint="default"/>
      </w:rPr>
    </w:lvl>
    <w:lvl w:ilvl="4" w:tplc="0C090003">
      <w:start w:val="1"/>
      <w:numFmt w:val="bullet"/>
      <w:lvlText w:val="o"/>
      <w:lvlJc w:val="left"/>
      <w:pPr>
        <w:ind w:left="4169" w:hanging="360"/>
      </w:pPr>
      <w:rPr>
        <w:rFonts w:ascii="Courier New" w:hAnsi="Courier New" w:cs="Courier New" w:hint="default"/>
      </w:rPr>
    </w:lvl>
    <w:lvl w:ilvl="5" w:tplc="0C090005">
      <w:start w:val="1"/>
      <w:numFmt w:val="bullet"/>
      <w:lvlText w:val=""/>
      <w:lvlJc w:val="left"/>
      <w:pPr>
        <w:ind w:left="4889" w:hanging="360"/>
      </w:pPr>
      <w:rPr>
        <w:rFonts w:ascii="Wingdings" w:hAnsi="Wingdings" w:hint="default"/>
      </w:rPr>
    </w:lvl>
    <w:lvl w:ilvl="6" w:tplc="0C090001">
      <w:start w:val="1"/>
      <w:numFmt w:val="bullet"/>
      <w:lvlText w:val=""/>
      <w:lvlJc w:val="left"/>
      <w:pPr>
        <w:ind w:left="5609" w:hanging="360"/>
      </w:pPr>
      <w:rPr>
        <w:rFonts w:ascii="Symbol" w:hAnsi="Symbol" w:hint="default"/>
      </w:rPr>
    </w:lvl>
    <w:lvl w:ilvl="7" w:tplc="0C090003">
      <w:start w:val="1"/>
      <w:numFmt w:val="bullet"/>
      <w:lvlText w:val="o"/>
      <w:lvlJc w:val="left"/>
      <w:pPr>
        <w:ind w:left="6329" w:hanging="360"/>
      </w:pPr>
      <w:rPr>
        <w:rFonts w:ascii="Courier New" w:hAnsi="Courier New" w:cs="Courier New" w:hint="default"/>
      </w:rPr>
    </w:lvl>
    <w:lvl w:ilvl="8" w:tplc="0C090005">
      <w:start w:val="1"/>
      <w:numFmt w:val="bullet"/>
      <w:lvlText w:val=""/>
      <w:lvlJc w:val="left"/>
      <w:pPr>
        <w:ind w:left="7049" w:hanging="360"/>
      </w:pPr>
      <w:rPr>
        <w:rFonts w:ascii="Wingdings" w:hAnsi="Wingdings" w:hint="default"/>
      </w:rPr>
    </w:lvl>
  </w:abstractNum>
  <w:abstractNum w:abstractNumId="17" w15:restartNumberingAfterBreak="0">
    <w:nsid w:val="6EF155C6"/>
    <w:multiLevelType w:val="multilevel"/>
    <w:tmpl w:val="A09ADC3E"/>
    <w:lvl w:ilvl="0">
      <w:start w:val="1"/>
      <w:numFmt w:val="none"/>
      <w:lvlText w:val="%1"/>
      <w:lvlJc w:val="left"/>
      <w:pPr>
        <w:ind w:left="567" w:hanging="567"/>
      </w:pPr>
      <w:rPr>
        <w:rFonts w:hint="default"/>
      </w:rPr>
    </w:lvl>
    <w:lvl w:ilvl="1">
      <w:start w:val="1"/>
      <w:numFmt w:val="decimal"/>
      <w:pStyle w:val="Heading2"/>
      <w:lvlText w:val="%2."/>
      <w:lvlJc w:val="left"/>
      <w:pPr>
        <w:ind w:left="567" w:hanging="567"/>
      </w:pPr>
      <w:rPr>
        <w:rFonts w:hint="default"/>
        <w:sz w:val="24"/>
        <w:szCs w:val="24"/>
      </w:rPr>
    </w:lvl>
    <w:lvl w:ilvl="2">
      <w:start w:val="1"/>
      <w:numFmt w:val="decimal"/>
      <w:pStyle w:val="Heading3"/>
      <w:lvlText w:val="%2.%3."/>
      <w:lvlJc w:val="left"/>
      <w:pPr>
        <w:ind w:left="567" w:hanging="567"/>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567" w:hanging="567"/>
      </w:pPr>
      <w:rPr>
        <w:rFonts w:hint="default"/>
      </w:rPr>
    </w:lvl>
    <w:lvl w:ilvl="4">
      <w:start w:val="1"/>
      <w:numFmt w:val="decimal"/>
      <w:pStyle w:val="Heading5"/>
      <w:lvlText w:val="%2.%3.%4.%5."/>
      <w:lvlJc w:val="left"/>
      <w:pPr>
        <w:ind w:left="567" w:hanging="567"/>
      </w:pPr>
      <w:rPr>
        <w:rFonts w:hint="default"/>
      </w:rPr>
    </w:lvl>
    <w:lvl w:ilvl="5">
      <w:start w:val="1"/>
      <w:numFmt w:val="none"/>
      <w:pStyle w:val="Heading6"/>
      <w:lvlText w:val=""/>
      <w:lvlJc w:val="left"/>
      <w:pPr>
        <w:ind w:left="567" w:hanging="567"/>
      </w:pPr>
      <w:rPr>
        <w:rFonts w:hint="default"/>
      </w:rPr>
    </w:lvl>
    <w:lvl w:ilvl="6">
      <w:start w:val="1"/>
      <w:numFmt w:val="none"/>
      <w:pStyle w:val="Heading7"/>
      <w:lvlText w:val=""/>
      <w:lvlJc w:val="left"/>
      <w:pPr>
        <w:ind w:left="567" w:hanging="567"/>
      </w:pPr>
      <w:rPr>
        <w:rFonts w:hint="default"/>
      </w:rPr>
    </w:lvl>
    <w:lvl w:ilvl="7">
      <w:start w:val="1"/>
      <w:numFmt w:val="none"/>
      <w:pStyle w:val="Heading8"/>
      <w:lvlText w:val=""/>
      <w:lvlJc w:val="left"/>
      <w:pPr>
        <w:ind w:left="567" w:hanging="567"/>
      </w:pPr>
      <w:rPr>
        <w:rFonts w:hint="default"/>
      </w:rPr>
    </w:lvl>
    <w:lvl w:ilvl="8">
      <w:start w:val="1"/>
      <w:numFmt w:val="none"/>
      <w:pStyle w:val="Heading9"/>
      <w:lvlText w:val=""/>
      <w:lvlJc w:val="left"/>
      <w:pPr>
        <w:ind w:left="567" w:hanging="567"/>
      </w:pPr>
      <w:rPr>
        <w:rFonts w:hint="default"/>
      </w:rPr>
    </w:lvl>
  </w:abstractNum>
  <w:abstractNum w:abstractNumId="18" w15:restartNumberingAfterBreak="0">
    <w:nsid w:val="75FE53AE"/>
    <w:multiLevelType w:val="multilevel"/>
    <w:tmpl w:val="A6126A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156"/>
        </w:tabs>
        <w:ind w:left="1156" w:hanging="360"/>
      </w:pPr>
      <w:rPr>
        <w:rFonts w:ascii="Courier New" w:hAnsi="Courier New" w:cs="Times New Roman" w:hint="default"/>
        <w:sz w:val="20"/>
      </w:r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num w:numId="1">
    <w:abstractNumId w:val="17"/>
  </w:num>
  <w:num w:numId="2">
    <w:abstractNumId w:val="15"/>
  </w:num>
  <w:num w:numId="3">
    <w:abstractNumId w:val="6"/>
  </w:num>
  <w:num w:numId="4">
    <w:abstractNumId w:val="0"/>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6"/>
  </w:num>
  <w:num w:numId="9">
    <w:abstractNumId w:val="10"/>
  </w:num>
  <w:num w:numId="10">
    <w:abstractNumId w:val="11"/>
  </w:num>
  <w:num w:numId="11">
    <w:abstractNumId w:val="7"/>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17"/>
  </w:num>
  <w:num w:numId="15">
    <w:abstractNumId w:val="17"/>
  </w:num>
  <w:num w:numId="16">
    <w:abstractNumId w:val="17"/>
  </w:num>
  <w:num w:numId="17">
    <w:abstractNumId w:val="12"/>
  </w:num>
  <w:num w:numId="18">
    <w:abstractNumId w:val="17"/>
  </w:num>
  <w:num w:numId="19">
    <w:abstractNumId w:val="17"/>
  </w:num>
  <w:num w:numId="20">
    <w:abstractNumId w:val="17"/>
  </w:num>
  <w:num w:numId="21">
    <w:abstractNumId w:val="17"/>
  </w:num>
  <w:num w:numId="22">
    <w:abstractNumId w:val="13"/>
  </w:num>
  <w:num w:numId="23">
    <w:abstractNumId w:val="9"/>
  </w:num>
  <w:num w:numId="24">
    <w:abstractNumId w:val="17"/>
  </w:num>
  <w:num w:numId="25">
    <w:abstractNumId w:val="17"/>
  </w:num>
  <w:num w:numId="26">
    <w:abstractNumId w:val="1"/>
  </w:num>
  <w:num w:numId="27">
    <w:abstractNumId w:val="14"/>
  </w:num>
  <w:num w:numId="28">
    <w:abstractNumId w:val="17"/>
  </w:num>
  <w:num w:numId="29">
    <w:abstractNumId w:val="3"/>
  </w:num>
  <w:num w:numId="30">
    <w:abstractNumId w:val="17"/>
  </w:num>
  <w:num w:numId="3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E1"/>
    <w:rsid w:val="00000E58"/>
    <w:rsid w:val="00001F47"/>
    <w:rsid w:val="000023F1"/>
    <w:rsid w:val="00002A99"/>
    <w:rsid w:val="00004367"/>
    <w:rsid w:val="00004D9A"/>
    <w:rsid w:val="00004E10"/>
    <w:rsid w:val="00006466"/>
    <w:rsid w:val="0000670C"/>
    <w:rsid w:val="000138C7"/>
    <w:rsid w:val="000157BC"/>
    <w:rsid w:val="00017890"/>
    <w:rsid w:val="00033355"/>
    <w:rsid w:val="00034A90"/>
    <w:rsid w:val="0003608C"/>
    <w:rsid w:val="00036939"/>
    <w:rsid w:val="00036C7B"/>
    <w:rsid w:val="000370A1"/>
    <w:rsid w:val="0004157F"/>
    <w:rsid w:val="00042C40"/>
    <w:rsid w:val="00044176"/>
    <w:rsid w:val="00044F47"/>
    <w:rsid w:val="0004511C"/>
    <w:rsid w:val="000464D6"/>
    <w:rsid w:val="000531B5"/>
    <w:rsid w:val="000532DB"/>
    <w:rsid w:val="00053984"/>
    <w:rsid w:val="00053DFB"/>
    <w:rsid w:val="0005550A"/>
    <w:rsid w:val="0005565D"/>
    <w:rsid w:val="00055C67"/>
    <w:rsid w:val="00056EB6"/>
    <w:rsid w:val="000576C5"/>
    <w:rsid w:val="00063701"/>
    <w:rsid w:val="00064272"/>
    <w:rsid w:val="00064CA5"/>
    <w:rsid w:val="00065237"/>
    <w:rsid w:val="00065CB2"/>
    <w:rsid w:val="00067899"/>
    <w:rsid w:val="0007110D"/>
    <w:rsid w:val="000716DF"/>
    <w:rsid w:val="00071D1C"/>
    <w:rsid w:val="000751A5"/>
    <w:rsid w:val="000752CE"/>
    <w:rsid w:val="00075F26"/>
    <w:rsid w:val="0007610F"/>
    <w:rsid w:val="00076729"/>
    <w:rsid w:val="00076D1E"/>
    <w:rsid w:val="00080A3F"/>
    <w:rsid w:val="000810AD"/>
    <w:rsid w:val="00082325"/>
    <w:rsid w:val="0008450D"/>
    <w:rsid w:val="00085247"/>
    <w:rsid w:val="00087240"/>
    <w:rsid w:val="00087C3E"/>
    <w:rsid w:val="00091F9A"/>
    <w:rsid w:val="00092460"/>
    <w:rsid w:val="00092970"/>
    <w:rsid w:val="00092A1C"/>
    <w:rsid w:val="00093371"/>
    <w:rsid w:val="000933BA"/>
    <w:rsid w:val="000949A8"/>
    <w:rsid w:val="00094DBB"/>
    <w:rsid w:val="0009521D"/>
    <w:rsid w:val="000972FA"/>
    <w:rsid w:val="000973D3"/>
    <w:rsid w:val="000A01DA"/>
    <w:rsid w:val="000A0492"/>
    <w:rsid w:val="000A1CF5"/>
    <w:rsid w:val="000A2148"/>
    <w:rsid w:val="000A2F39"/>
    <w:rsid w:val="000A567C"/>
    <w:rsid w:val="000A5D1B"/>
    <w:rsid w:val="000A6259"/>
    <w:rsid w:val="000A6E3A"/>
    <w:rsid w:val="000A747C"/>
    <w:rsid w:val="000B17DE"/>
    <w:rsid w:val="000B1BB6"/>
    <w:rsid w:val="000B21B3"/>
    <w:rsid w:val="000B2933"/>
    <w:rsid w:val="000B705B"/>
    <w:rsid w:val="000C04E8"/>
    <w:rsid w:val="000C1397"/>
    <w:rsid w:val="000C143B"/>
    <w:rsid w:val="000C1494"/>
    <w:rsid w:val="000C1DD8"/>
    <w:rsid w:val="000C2AC6"/>
    <w:rsid w:val="000C3C10"/>
    <w:rsid w:val="000C50FE"/>
    <w:rsid w:val="000C72F1"/>
    <w:rsid w:val="000D09B5"/>
    <w:rsid w:val="000D0B4A"/>
    <w:rsid w:val="000D2FA2"/>
    <w:rsid w:val="000D35A9"/>
    <w:rsid w:val="000D5378"/>
    <w:rsid w:val="000D5D40"/>
    <w:rsid w:val="000D6908"/>
    <w:rsid w:val="000E12F5"/>
    <w:rsid w:val="000E19E9"/>
    <w:rsid w:val="000E31F5"/>
    <w:rsid w:val="000E33E3"/>
    <w:rsid w:val="000E3605"/>
    <w:rsid w:val="000E4FAC"/>
    <w:rsid w:val="000E6204"/>
    <w:rsid w:val="000E6D2B"/>
    <w:rsid w:val="000E7867"/>
    <w:rsid w:val="000F00C0"/>
    <w:rsid w:val="000F1CD5"/>
    <w:rsid w:val="000F274E"/>
    <w:rsid w:val="000F27DA"/>
    <w:rsid w:val="000F2A12"/>
    <w:rsid w:val="000F2A4A"/>
    <w:rsid w:val="000F3097"/>
    <w:rsid w:val="000F5AFD"/>
    <w:rsid w:val="000F6295"/>
    <w:rsid w:val="000F762B"/>
    <w:rsid w:val="00100095"/>
    <w:rsid w:val="00100CFF"/>
    <w:rsid w:val="00102156"/>
    <w:rsid w:val="00107C54"/>
    <w:rsid w:val="0011031B"/>
    <w:rsid w:val="0011086F"/>
    <w:rsid w:val="00110E65"/>
    <w:rsid w:val="001114E9"/>
    <w:rsid w:val="0011290C"/>
    <w:rsid w:val="00115D56"/>
    <w:rsid w:val="001176DA"/>
    <w:rsid w:val="00117D09"/>
    <w:rsid w:val="0012150F"/>
    <w:rsid w:val="001217E7"/>
    <w:rsid w:val="00121955"/>
    <w:rsid w:val="00122321"/>
    <w:rsid w:val="001232D8"/>
    <w:rsid w:val="001241C1"/>
    <w:rsid w:val="00125AB3"/>
    <w:rsid w:val="00125EBD"/>
    <w:rsid w:val="001260C8"/>
    <w:rsid w:val="00126211"/>
    <w:rsid w:val="00126A6B"/>
    <w:rsid w:val="0013046D"/>
    <w:rsid w:val="001319D5"/>
    <w:rsid w:val="00133311"/>
    <w:rsid w:val="00134913"/>
    <w:rsid w:val="00134F94"/>
    <w:rsid w:val="00135061"/>
    <w:rsid w:val="00137EF7"/>
    <w:rsid w:val="00141265"/>
    <w:rsid w:val="00141869"/>
    <w:rsid w:val="00142669"/>
    <w:rsid w:val="001429A1"/>
    <w:rsid w:val="00144073"/>
    <w:rsid w:val="00144F80"/>
    <w:rsid w:val="0014515B"/>
    <w:rsid w:val="001458A5"/>
    <w:rsid w:val="00145F7A"/>
    <w:rsid w:val="00146B9E"/>
    <w:rsid w:val="00146CDC"/>
    <w:rsid w:val="001477BC"/>
    <w:rsid w:val="00151217"/>
    <w:rsid w:val="001570A0"/>
    <w:rsid w:val="00157C83"/>
    <w:rsid w:val="00161A0C"/>
    <w:rsid w:val="00163D78"/>
    <w:rsid w:val="00164246"/>
    <w:rsid w:val="001644D3"/>
    <w:rsid w:val="00164BE1"/>
    <w:rsid w:val="001656BB"/>
    <w:rsid w:val="00165C7D"/>
    <w:rsid w:val="00166796"/>
    <w:rsid w:val="0016772C"/>
    <w:rsid w:val="00167A89"/>
    <w:rsid w:val="001707C6"/>
    <w:rsid w:val="001712EA"/>
    <w:rsid w:val="00171C01"/>
    <w:rsid w:val="00173F54"/>
    <w:rsid w:val="001747C8"/>
    <w:rsid w:val="00174EB7"/>
    <w:rsid w:val="00176F5F"/>
    <w:rsid w:val="00177196"/>
    <w:rsid w:val="001801CE"/>
    <w:rsid w:val="0018069D"/>
    <w:rsid w:val="001806DA"/>
    <w:rsid w:val="001841C0"/>
    <w:rsid w:val="001848CE"/>
    <w:rsid w:val="0018618F"/>
    <w:rsid w:val="001879FD"/>
    <w:rsid w:val="00191F8B"/>
    <w:rsid w:val="00192F72"/>
    <w:rsid w:val="001937D8"/>
    <w:rsid w:val="00193917"/>
    <w:rsid w:val="00193EB8"/>
    <w:rsid w:val="00194FF7"/>
    <w:rsid w:val="00195EB2"/>
    <w:rsid w:val="001A022C"/>
    <w:rsid w:val="001A0631"/>
    <w:rsid w:val="001A0898"/>
    <w:rsid w:val="001A0DE1"/>
    <w:rsid w:val="001A21B8"/>
    <w:rsid w:val="001A3F6E"/>
    <w:rsid w:val="001A5C58"/>
    <w:rsid w:val="001B2554"/>
    <w:rsid w:val="001B290A"/>
    <w:rsid w:val="001B2D5B"/>
    <w:rsid w:val="001B2EFA"/>
    <w:rsid w:val="001B573A"/>
    <w:rsid w:val="001B5A4D"/>
    <w:rsid w:val="001C445F"/>
    <w:rsid w:val="001C4C0A"/>
    <w:rsid w:val="001C7FE9"/>
    <w:rsid w:val="001D11B7"/>
    <w:rsid w:val="001D2341"/>
    <w:rsid w:val="001D2AD8"/>
    <w:rsid w:val="001D31EF"/>
    <w:rsid w:val="001D4831"/>
    <w:rsid w:val="001D4882"/>
    <w:rsid w:val="001D4C69"/>
    <w:rsid w:val="001D62E1"/>
    <w:rsid w:val="001D63CD"/>
    <w:rsid w:val="001D6A6F"/>
    <w:rsid w:val="001D6F8E"/>
    <w:rsid w:val="001E20FF"/>
    <w:rsid w:val="001E3F34"/>
    <w:rsid w:val="001E599E"/>
    <w:rsid w:val="001E60EC"/>
    <w:rsid w:val="001F161B"/>
    <w:rsid w:val="001F1C4C"/>
    <w:rsid w:val="001F24D1"/>
    <w:rsid w:val="001F6FEF"/>
    <w:rsid w:val="00200AE7"/>
    <w:rsid w:val="00200FD6"/>
    <w:rsid w:val="00206871"/>
    <w:rsid w:val="00207264"/>
    <w:rsid w:val="00211327"/>
    <w:rsid w:val="0021145C"/>
    <w:rsid w:val="002145CD"/>
    <w:rsid w:val="00215C10"/>
    <w:rsid w:val="0021782C"/>
    <w:rsid w:val="00217D6C"/>
    <w:rsid w:val="00220226"/>
    <w:rsid w:val="00224289"/>
    <w:rsid w:val="00224757"/>
    <w:rsid w:val="00226A6D"/>
    <w:rsid w:val="0023146E"/>
    <w:rsid w:val="00232048"/>
    <w:rsid w:val="002320F6"/>
    <w:rsid w:val="0023244F"/>
    <w:rsid w:val="002331F7"/>
    <w:rsid w:val="00235881"/>
    <w:rsid w:val="002379E4"/>
    <w:rsid w:val="00237E09"/>
    <w:rsid w:val="002417C2"/>
    <w:rsid w:val="00241EEF"/>
    <w:rsid w:val="0024339C"/>
    <w:rsid w:val="00243936"/>
    <w:rsid w:val="00243998"/>
    <w:rsid w:val="00244A41"/>
    <w:rsid w:val="00245E9A"/>
    <w:rsid w:val="0025040C"/>
    <w:rsid w:val="002508BA"/>
    <w:rsid w:val="00250971"/>
    <w:rsid w:val="00251D2D"/>
    <w:rsid w:val="002521D9"/>
    <w:rsid w:val="00253207"/>
    <w:rsid w:val="00253B78"/>
    <w:rsid w:val="00256C0F"/>
    <w:rsid w:val="0026156F"/>
    <w:rsid w:val="00262561"/>
    <w:rsid w:val="002631B3"/>
    <w:rsid w:val="002636F4"/>
    <w:rsid w:val="00264987"/>
    <w:rsid w:val="00264D19"/>
    <w:rsid w:val="002655B0"/>
    <w:rsid w:val="00266A07"/>
    <w:rsid w:val="002706DA"/>
    <w:rsid w:val="00270A53"/>
    <w:rsid w:val="0027125F"/>
    <w:rsid w:val="0027257F"/>
    <w:rsid w:val="00272B6C"/>
    <w:rsid w:val="002744A9"/>
    <w:rsid w:val="002746E0"/>
    <w:rsid w:val="002751E6"/>
    <w:rsid w:val="002754D5"/>
    <w:rsid w:val="0027569F"/>
    <w:rsid w:val="002758FD"/>
    <w:rsid w:val="00276565"/>
    <w:rsid w:val="00277768"/>
    <w:rsid w:val="0028005A"/>
    <w:rsid w:val="002808D4"/>
    <w:rsid w:val="00280E59"/>
    <w:rsid w:val="0028147E"/>
    <w:rsid w:val="002825FA"/>
    <w:rsid w:val="0028406F"/>
    <w:rsid w:val="002857D1"/>
    <w:rsid w:val="00286C4F"/>
    <w:rsid w:val="00286F3E"/>
    <w:rsid w:val="00287122"/>
    <w:rsid w:val="0029089A"/>
    <w:rsid w:val="00290B42"/>
    <w:rsid w:val="00292160"/>
    <w:rsid w:val="00292787"/>
    <w:rsid w:val="00292B74"/>
    <w:rsid w:val="00292F5F"/>
    <w:rsid w:val="002936FE"/>
    <w:rsid w:val="00293C31"/>
    <w:rsid w:val="00295F10"/>
    <w:rsid w:val="002977B3"/>
    <w:rsid w:val="00297F09"/>
    <w:rsid w:val="002A084B"/>
    <w:rsid w:val="002A0C75"/>
    <w:rsid w:val="002A1D5B"/>
    <w:rsid w:val="002A1DC4"/>
    <w:rsid w:val="002A2F76"/>
    <w:rsid w:val="002A39C8"/>
    <w:rsid w:val="002A3DD7"/>
    <w:rsid w:val="002A4048"/>
    <w:rsid w:val="002A5326"/>
    <w:rsid w:val="002A5449"/>
    <w:rsid w:val="002A72BB"/>
    <w:rsid w:val="002B01D3"/>
    <w:rsid w:val="002B2DBE"/>
    <w:rsid w:val="002B4EA4"/>
    <w:rsid w:val="002B53D3"/>
    <w:rsid w:val="002B5F9C"/>
    <w:rsid w:val="002B6099"/>
    <w:rsid w:val="002C1871"/>
    <w:rsid w:val="002C1BEE"/>
    <w:rsid w:val="002C4602"/>
    <w:rsid w:val="002C4BFA"/>
    <w:rsid w:val="002C7174"/>
    <w:rsid w:val="002D0006"/>
    <w:rsid w:val="002D07D5"/>
    <w:rsid w:val="002D19D2"/>
    <w:rsid w:val="002D1E2B"/>
    <w:rsid w:val="002D26E5"/>
    <w:rsid w:val="002D27D4"/>
    <w:rsid w:val="002D3E1E"/>
    <w:rsid w:val="002D5F2F"/>
    <w:rsid w:val="002D7658"/>
    <w:rsid w:val="002E01A8"/>
    <w:rsid w:val="002E0A71"/>
    <w:rsid w:val="002E0FC0"/>
    <w:rsid w:val="002E2A4A"/>
    <w:rsid w:val="002E3E39"/>
    <w:rsid w:val="002E4C39"/>
    <w:rsid w:val="002E52BE"/>
    <w:rsid w:val="002E5DB8"/>
    <w:rsid w:val="002E7015"/>
    <w:rsid w:val="002E7BC9"/>
    <w:rsid w:val="002F0403"/>
    <w:rsid w:val="002F04F3"/>
    <w:rsid w:val="002F4944"/>
    <w:rsid w:val="002F5A11"/>
    <w:rsid w:val="002F63F8"/>
    <w:rsid w:val="00302087"/>
    <w:rsid w:val="0030335F"/>
    <w:rsid w:val="00303CFE"/>
    <w:rsid w:val="00305381"/>
    <w:rsid w:val="003059EC"/>
    <w:rsid w:val="0030647F"/>
    <w:rsid w:val="003064E6"/>
    <w:rsid w:val="00307091"/>
    <w:rsid w:val="00307100"/>
    <w:rsid w:val="00307329"/>
    <w:rsid w:val="003074D2"/>
    <w:rsid w:val="00311EF5"/>
    <w:rsid w:val="003122AA"/>
    <w:rsid w:val="0031560A"/>
    <w:rsid w:val="00316C4A"/>
    <w:rsid w:val="0032049C"/>
    <w:rsid w:val="003216CD"/>
    <w:rsid w:val="00322DA6"/>
    <w:rsid w:val="00322DF1"/>
    <w:rsid w:val="003240BD"/>
    <w:rsid w:val="0032495A"/>
    <w:rsid w:val="00324A00"/>
    <w:rsid w:val="00325492"/>
    <w:rsid w:val="00325952"/>
    <w:rsid w:val="00325F11"/>
    <w:rsid w:val="00331220"/>
    <w:rsid w:val="00331FF6"/>
    <w:rsid w:val="0033246A"/>
    <w:rsid w:val="00332866"/>
    <w:rsid w:val="00332AE0"/>
    <w:rsid w:val="003333CD"/>
    <w:rsid w:val="00333B5A"/>
    <w:rsid w:val="00335931"/>
    <w:rsid w:val="00337BED"/>
    <w:rsid w:val="00340584"/>
    <w:rsid w:val="00341422"/>
    <w:rsid w:val="00341C84"/>
    <w:rsid w:val="0034265F"/>
    <w:rsid w:val="0034419B"/>
    <w:rsid w:val="00345595"/>
    <w:rsid w:val="00345FC5"/>
    <w:rsid w:val="00346A64"/>
    <w:rsid w:val="00346F0B"/>
    <w:rsid w:val="00347F6B"/>
    <w:rsid w:val="003502FD"/>
    <w:rsid w:val="00356BCB"/>
    <w:rsid w:val="00357531"/>
    <w:rsid w:val="00361C49"/>
    <w:rsid w:val="003625D9"/>
    <w:rsid w:val="003633FD"/>
    <w:rsid w:val="003642A8"/>
    <w:rsid w:val="00365414"/>
    <w:rsid w:val="003657B8"/>
    <w:rsid w:val="003663EB"/>
    <w:rsid w:val="003673EC"/>
    <w:rsid w:val="00370A0E"/>
    <w:rsid w:val="0037122B"/>
    <w:rsid w:val="003715C1"/>
    <w:rsid w:val="00372B6A"/>
    <w:rsid w:val="00373DDD"/>
    <w:rsid w:val="00377454"/>
    <w:rsid w:val="00377CDB"/>
    <w:rsid w:val="003804E3"/>
    <w:rsid w:val="00381401"/>
    <w:rsid w:val="00381792"/>
    <w:rsid w:val="00381C89"/>
    <w:rsid w:val="00381DEA"/>
    <w:rsid w:val="0038210A"/>
    <w:rsid w:val="00382137"/>
    <w:rsid w:val="003825E4"/>
    <w:rsid w:val="00382BD7"/>
    <w:rsid w:val="00384FFC"/>
    <w:rsid w:val="003853B6"/>
    <w:rsid w:val="00385FDF"/>
    <w:rsid w:val="0038633B"/>
    <w:rsid w:val="003874E6"/>
    <w:rsid w:val="003903BC"/>
    <w:rsid w:val="0039060A"/>
    <w:rsid w:val="00390FC9"/>
    <w:rsid w:val="00392276"/>
    <w:rsid w:val="003942AE"/>
    <w:rsid w:val="003945B3"/>
    <w:rsid w:val="00395347"/>
    <w:rsid w:val="003A05AA"/>
    <w:rsid w:val="003A246B"/>
    <w:rsid w:val="003A3DA1"/>
    <w:rsid w:val="003A3E52"/>
    <w:rsid w:val="003A436C"/>
    <w:rsid w:val="003A59E5"/>
    <w:rsid w:val="003A6F95"/>
    <w:rsid w:val="003B0469"/>
    <w:rsid w:val="003B046D"/>
    <w:rsid w:val="003B057E"/>
    <w:rsid w:val="003B08FF"/>
    <w:rsid w:val="003B0A71"/>
    <w:rsid w:val="003B1A15"/>
    <w:rsid w:val="003B1B31"/>
    <w:rsid w:val="003B3D91"/>
    <w:rsid w:val="003B768E"/>
    <w:rsid w:val="003B7C17"/>
    <w:rsid w:val="003C128D"/>
    <w:rsid w:val="003C1FDC"/>
    <w:rsid w:val="003C2133"/>
    <w:rsid w:val="003C48C5"/>
    <w:rsid w:val="003C4A19"/>
    <w:rsid w:val="003C549E"/>
    <w:rsid w:val="003C5F69"/>
    <w:rsid w:val="003C65C4"/>
    <w:rsid w:val="003C6A5E"/>
    <w:rsid w:val="003C7551"/>
    <w:rsid w:val="003C7F41"/>
    <w:rsid w:val="003D3D85"/>
    <w:rsid w:val="003D5AA7"/>
    <w:rsid w:val="003D65C1"/>
    <w:rsid w:val="003D66AE"/>
    <w:rsid w:val="003D6BF0"/>
    <w:rsid w:val="003D723E"/>
    <w:rsid w:val="003E1376"/>
    <w:rsid w:val="003E1B2C"/>
    <w:rsid w:val="003E2197"/>
    <w:rsid w:val="003E24AA"/>
    <w:rsid w:val="003E426D"/>
    <w:rsid w:val="003E4571"/>
    <w:rsid w:val="003E54EB"/>
    <w:rsid w:val="003E6ACB"/>
    <w:rsid w:val="003F02C7"/>
    <w:rsid w:val="003F3A5A"/>
    <w:rsid w:val="003F411E"/>
    <w:rsid w:val="003F4F37"/>
    <w:rsid w:val="003F50AE"/>
    <w:rsid w:val="003F5142"/>
    <w:rsid w:val="003F70B5"/>
    <w:rsid w:val="003F7791"/>
    <w:rsid w:val="00401068"/>
    <w:rsid w:val="00402B42"/>
    <w:rsid w:val="004040EE"/>
    <w:rsid w:val="004042BE"/>
    <w:rsid w:val="0040789D"/>
    <w:rsid w:val="0041087F"/>
    <w:rsid w:val="00410DD8"/>
    <w:rsid w:val="00410E05"/>
    <w:rsid w:val="0041204A"/>
    <w:rsid w:val="00414240"/>
    <w:rsid w:val="00415718"/>
    <w:rsid w:val="00417EA9"/>
    <w:rsid w:val="00420158"/>
    <w:rsid w:val="00422138"/>
    <w:rsid w:val="0042238E"/>
    <w:rsid w:val="00422486"/>
    <w:rsid w:val="00423595"/>
    <w:rsid w:val="00427180"/>
    <w:rsid w:val="00427954"/>
    <w:rsid w:val="004307F6"/>
    <w:rsid w:val="0043085F"/>
    <w:rsid w:val="00430DD6"/>
    <w:rsid w:val="004330C9"/>
    <w:rsid w:val="00433ACD"/>
    <w:rsid w:val="00436E2A"/>
    <w:rsid w:val="00437BD8"/>
    <w:rsid w:val="0044016B"/>
    <w:rsid w:val="00441A6C"/>
    <w:rsid w:val="004441C6"/>
    <w:rsid w:val="004443FE"/>
    <w:rsid w:val="004446D8"/>
    <w:rsid w:val="00445155"/>
    <w:rsid w:val="00446F72"/>
    <w:rsid w:val="004470CF"/>
    <w:rsid w:val="00447163"/>
    <w:rsid w:val="004475E2"/>
    <w:rsid w:val="004501BD"/>
    <w:rsid w:val="00450D7D"/>
    <w:rsid w:val="00451178"/>
    <w:rsid w:val="00452654"/>
    <w:rsid w:val="00452DC8"/>
    <w:rsid w:val="00453045"/>
    <w:rsid w:val="00453304"/>
    <w:rsid w:val="00453FFD"/>
    <w:rsid w:val="0045419B"/>
    <w:rsid w:val="00454ABD"/>
    <w:rsid w:val="00454B0C"/>
    <w:rsid w:val="00454BFA"/>
    <w:rsid w:val="00455397"/>
    <w:rsid w:val="0045551F"/>
    <w:rsid w:val="0045568D"/>
    <w:rsid w:val="00455FDC"/>
    <w:rsid w:val="00456620"/>
    <w:rsid w:val="00457C67"/>
    <w:rsid w:val="00461424"/>
    <w:rsid w:val="00461B25"/>
    <w:rsid w:val="00461CE6"/>
    <w:rsid w:val="004639FD"/>
    <w:rsid w:val="0046400E"/>
    <w:rsid w:val="004642CE"/>
    <w:rsid w:val="004652F4"/>
    <w:rsid w:val="004655CD"/>
    <w:rsid w:val="00466867"/>
    <w:rsid w:val="004672DB"/>
    <w:rsid w:val="00470F01"/>
    <w:rsid w:val="004717CF"/>
    <w:rsid w:val="004718CD"/>
    <w:rsid w:val="00471A57"/>
    <w:rsid w:val="00472559"/>
    <w:rsid w:val="0047295F"/>
    <w:rsid w:val="004740E8"/>
    <w:rsid w:val="004743B7"/>
    <w:rsid w:val="00474677"/>
    <w:rsid w:val="004779B8"/>
    <w:rsid w:val="00480099"/>
    <w:rsid w:val="00480229"/>
    <w:rsid w:val="0048392F"/>
    <w:rsid w:val="00484B23"/>
    <w:rsid w:val="004857F7"/>
    <w:rsid w:val="0048603C"/>
    <w:rsid w:val="00487874"/>
    <w:rsid w:val="00490214"/>
    <w:rsid w:val="00491896"/>
    <w:rsid w:val="004925E2"/>
    <w:rsid w:val="00492A11"/>
    <w:rsid w:val="00492A63"/>
    <w:rsid w:val="00493EEB"/>
    <w:rsid w:val="00494A99"/>
    <w:rsid w:val="00495872"/>
    <w:rsid w:val="00495A53"/>
    <w:rsid w:val="0049611F"/>
    <w:rsid w:val="0049777D"/>
    <w:rsid w:val="004A0EE2"/>
    <w:rsid w:val="004A2C10"/>
    <w:rsid w:val="004A2CA4"/>
    <w:rsid w:val="004A2F36"/>
    <w:rsid w:val="004A58F7"/>
    <w:rsid w:val="004A62FC"/>
    <w:rsid w:val="004A64FC"/>
    <w:rsid w:val="004A7886"/>
    <w:rsid w:val="004B0ED8"/>
    <w:rsid w:val="004B1363"/>
    <w:rsid w:val="004B30D0"/>
    <w:rsid w:val="004B4143"/>
    <w:rsid w:val="004B4E18"/>
    <w:rsid w:val="004B5B66"/>
    <w:rsid w:val="004B6DE7"/>
    <w:rsid w:val="004B6FD5"/>
    <w:rsid w:val="004C033B"/>
    <w:rsid w:val="004C08A3"/>
    <w:rsid w:val="004C11AC"/>
    <w:rsid w:val="004C11D8"/>
    <w:rsid w:val="004C206E"/>
    <w:rsid w:val="004D04EE"/>
    <w:rsid w:val="004D1800"/>
    <w:rsid w:val="004D24E7"/>
    <w:rsid w:val="004D3575"/>
    <w:rsid w:val="004D3BF8"/>
    <w:rsid w:val="004D53A5"/>
    <w:rsid w:val="004D5DA8"/>
    <w:rsid w:val="004D72E4"/>
    <w:rsid w:val="004D7802"/>
    <w:rsid w:val="004D7C7E"/>
    <w:rsid w:val="004E09E9"/>
    <w:rsid w:val="004E1248"/>
    <w:rsid w:val="004E1754"/>
    <w:rsid w:val="004E1D10"/>
    <w:rsid w:val="004E23A7"/>
    <w:rsid w:val="004E2507"/>
    <w:rsid w:val="004E26A1"/>
    <w:rsid w:val="004E41D2"/>
    <w:rsid w:val="004F1F59"/>
    <w:rsid w:val="004F27E5"/>
    <w:rsid w:val="004F338E"/>
    <w:rsid w:val="004F520E"/>
    <w:rsid w:val="004F6402"/>
    <w:rsid w:val="004F76A3"/>
    <w:rsid w:val="00502A4A"/>
    <w:rsid w:val="00502FD7"/>
    <w:rsid w:val="00504789"/>
    <w:rsid w:val="00504D0A"/>
    <w:rsid w:val="00505BCB"/>
    <w:rsid w:val="00505F58"/>
    <w:rsid w:val="00510AB3"/>
    <w:rsid w:val="00510B5B"/>
    <w:rsid w:val="00510EF5"/>
    <w:rsid w:val="00511342"/>
    <w:rsid w:val="00512435"/>
    <w:rsid w:val="005124D5"/>
    <w:rsid w:val="005131D6"/>
    <w:rsid w:val="00517CE1"/>
    <w:rsid w:val="00520B5C"/>
    <w:rsid w:val="00521755"/>
    <w:rsid w:val="0052268C"/>
    <w:rsid w:val="00526165"/>
    <w:rsid w:val="00527BED"/>
    <w:rsid w:val="00527E4C"/>
    <w:rsid w:val="00530582"/>
    <w:rsid w:val="00533045"/>
    <w:rsid w:val="0053483D"/>
    <w:rsid w:val="00536609"/>
    <w:rsid w:val="00541701"/>
    <w:rsid w:val="00541E10"/>
    <w:rsid w:val="005424FB"/>
    <w:rsid w:val="00542D39"/>
    <w:rsid w:val="0054364D"/>
    <w:rsid w:val="00543924"/>
    <w:rsid w:val="00544CAB"/>
    <w:rsid w:val="00545072"/>
    <w:rsid w:val="005463E9"/>
    <w:rsid w:val="0054674B"/>
    <w:rsid w:val="005471ED"/>
    <w:rsid w:val="00550336"/>
    <w:rsid w:val="0055273A"/>
    <w:rsid w:val="00552CE5"/>
    <w:rsid w:val="00552EC7"/>
    <w:rsid w:val="00554241"/>
    <w:rsid w:val="005550A1"/>
    <w:rsid w:val="00555926"/>
    <w:rsid w:val="00556117"/>
    <w:rsid w:val="005570B2"/>
    <w:rsid w:val="00557EDF"/>
    <w:rsid w:val="005603A0"/>
    <w:rsid w:val="00561055"/>
    <w:rsid w:val="0056276F"/>
    <w:rsid w:val="00562902"/>
    <w:rsid w:val="00562907"/>
    <w:rsid w:val="00562D86"/>
    <w:rsid w:val="00570050"/>
    <w:rsid w:val="005700C6"/>
    <w:rsid w:val="005703A4"/>
    <w:rsid w:val="00570ED2"/>
    <w:rsid w:val="005719D1"/>
    <w:rsid w:val="00573C0A"/>
    <w:rsid w:val="00573F99"/>
    <w:rsid w:val="00574409"/>
    <w:rsid w:val="00575608"/>
    <w:rsid w:val="00575E19"/>
    <w:rsid w:val="00580A0D"/>
    <w:rsid w:val="00580CF6"/>
    <w:rsid w:val="0058433C"/>
    <w:rsid w:val="00585E92"/>
    <w:rsid w:val="0059096A"/>
    <w:rsid w:val="00590E74"/>
    <w:rsid w:val="00591649"/>
    <w:rsid w:val="00591D6E"/>
    <w:rsid w:val="00593539"/>
    <w:rsid w:val="00593D13"/>
    <w:rsid w:val="00593D4F"/>
    <w:rsid w:val="005941FB"/>
    <w:rsid w:val="005950A6"/>
    <w:rsid w:val="0059567C"/>
    <w:rsid w:val="005A03C2"/>
    <w:rsid w:val="005A4F82"/>
    <w:rsid w:val="005A6E46"/>
    <w:rsid w:val="005A73C7"/>
    <w:rsid w:val="005A7AC1"/>
    <w:rsid w:val="005B14A4"/>
    <w:rsid w:val="005B1A64"/>
    <w:rsid w:val="005B222F"/>
    <w:rsid w:val="005B2D96"/>
    <w:rsid w:val="005B2DF1"/>
    <w:rsid w:val="005B3E99"/>
    <w:rsid w:val="005B458F"/>
    <w:rsid w:val="005B5D14"/>
    <w:rsid w:val="005B6436"/>
    <w:rsid w:val="005B6493"/>
    <w:rsid w:val="005B7233"/>
    <w:rsid w:val="005B7480"/>
    <w:rsid w:val="005C1420"/>
    <w:rsid w:val="005C5FE9"/>
    <w:rsid w:val="005C6337"/>
    <w:rsid w:val="005D09C1"/>
    <w:rsid w:val="005D2DE2"/>
    <w:rsid w:val="005D367A"/>
    <w:rsid w:val="005D5DC1"/>
    <w:rsid w:val="005D624A"/>
    <w:rsid w:val="005D7446"/>
    <w:rsid w:val="005E00C1"/>
    <w:rsid w:val="005E07CB"/>
    <w:rsid w:val="005E483A"/>
    <w:rsid w:val="005E4FC8"/>
    <w:rsid w:val="005E74A1"/>
    <w:rsid w:val="005E7B01"/>
    <w:rsid w:val="005F09A3"/>
    <w:rsid w:val="005F10D8"/>
    <w:rsid w:val="005F3F9F"/>
    <w:rsid w:val="005F52CE"/>
    <w:rsid w:val="005F53B6"/>
    <w:rsid w:val="005F55B2"/>
    <w:rsid w:val="005F7CC1"/>
    <w:rsid w:val="005F7F65"/>
    <w:rsid w:val="00600D5F"/>
    <w:rsid w:val="006021AF"/>
    <w:rsid w:val="006055EB"/>
    <w:rsid w:val="00605817"/>
    <w:rsid w:val="00606933"/>
    <w:rsid w:val="00607C82"/>
    <w:rsid w:val="006109B4"/>
    <w:rsid w:val="0061318B"/>
    <w:rsid w:val="00613357"/>
    <w:rsid w:val="00615C7E"/>
    <w:rsid w:val="0062149E"/>
    <w:rsid w:val="006217C3"/>
    <w:rsid w:val="00621866"/>
    <w:rsid w:val="0062200C"/>
    <w:rsid w:val="006234B5"/>
    <w:rsid w:val="006260E2"/>
    <w:rsid w:val="00627580"/>
    <w:rsid w:val="0063118C"/>
    <w:rsid w:val="00631C5F"/>
    <w:rsid w:val="006351D2"/>
    <w:rsid w:val="00636401"/>
    <w:rsid w:val="00637214"/>
    <w:rsid w:val="00641907"/>
    <w:rsid w:val="00642766"/>
    <w:rsid w:val="00643311"/>
    <w:rsid w:val="006477E1"/>
    <w:rsid w:val="00647CD2"/>
    <w:rsid w:val="00650AFE"/>
    <w:rsid w:val="00660132"/>
    <w:rsid w:val="006618D1"/>
    <w:rsid w:val="00662780"/>
    <w:rsid w:val="00662AB0"/>
    <w:rsid w:val="0066384F"/>
    <w:rsid w:val="00663FC6"/>
    <w:rsid w:val="006647B2"/>
    <w:rsid w:val="006649C2"/>
    <w:rsid w:val="00664A66"/>
    <w:rsid w:val="00665BC3"/>
    <w:rsid w:val="00667FA4"/>
    <w:rsid w:val="00671509"/>
    <w:rsid w:val="0067237B"/>
    <w:rsid w:val="00674DDB"/>
    <w:rsid w:val="006768FD"/>
    <w:rsid w:val="0067710E"/>
    <w:rsid w:val="00681EB3"/>
    <w:rsid w:val="00681EF7"/>
    <w:rsid w:val="00682BF6"/>
    <w:rsid w:val="0068697D"/>
    <w:rsid w:val="006910A7"/>
    <w:rsid w:val="006925C1"/>
    <w:rsid w:val="00696163"/>
    <w:rsid w:val="00697236"/>
    <w:rsid w:val="006A0E21"/>
    <w:rsid w:val="006A0FFD"/>
    <w:rsid w:val="006A1FE1"/>
    <w:rsid w:val="006A44B3"/>
    <w:rsid w:val="006A4B43"/>
    <w:rsid w:val="006A77A7"/>
    <w:rsid w:val="006A7873"/>
    <w:rsid w:val="006B0440"/>
    <w:rsid w:val="006B268C"/>
    <w:rsid w:val="006B3B4D"/>
    <w:rsid w:val="006B71DC"/>
    <w:rsid w:val="006C016F"/>
    <w:rsid w:val="006C02B4"/>
    <w:rsid w:val="006C35EC"/>
    <w:rsid w:val="006C683E"/>
    <w:rsid w:val="006C7A59"/>
    <w:rsid w:val="006D019C"/>
    <w:rsid w:val="006D0270"/>
    <w:rsid w:val="006D24E1"/>
    <w:rsid w:val="006D26F3"/>
    <w:rsid w:val="006D3B66"/>
    <w:rsid w:val="006D4A38"/>
    <w:rsid w:val="006D6612"/>
    <w:rsid w:val="006D7C96"/>
    <w:rsid w:val="006E2A29"/>
    <w:rsid w:val="006E4B18"/>
    <w:rsid w:val="006E50FC"/>
    <w:rsid w:val="006F11BA"/>
    <w:rsid w:val="006F2095"/>
    <w:rsid w:val="006F523D"/>
    <w:rsid w:val="006F756B"/>
    <w:rsid w:val="00700067"/>
    <w:rsid w:val="007011D9"/>
    <w:rsid w:val="00702876"/>
    <w:rsid w:val="00704F33"/>
    <w:rsid w:val="007057EA"/>
    <w:rsid w:val="00705B24"/>
    <w:rsid w:val="00706C18"/>
    <w:rsid w:val="00707510"/>
    <w:rsid w:val="00707733"/>
    <w:rsid w:val="00707F49"/>
    <w:rsid w:val="007105DD"/>
    <w:rsid w:val="00711015"/>
    <w:rsid w:val="0071131A"/>
    <w:rsid w:val="0071177C"/>
    <w:rsid w:val="00713CF6"/>
    <w:rsid w:val="00713FD9"/>
    <w:rsid w:val="00715EF1"/>
    <w:rsid w:val="00716B7C"/>
    <w:rsid w:val="00716D9F"/>
    <w:rsid w:val="00717B4E"/>
    <w:rsid w:val="0072012C"/>
    <w:rsid w:val="00720C92"/>
    <w:rsid w:val="00724561"/>
    <w:rsid w:val="00724699"/>
    <w:rsid w:val="007307D3"/>
    <w:rsid w:val="00730F57"/>
    <w:rsid w:val="00731B40"/>
    <w:rsid w:val="00731B46"/>
    <w:rsid w:val="0073338B"/>
    <w:rsid w:val="00733985"/>
    <w:rsid w:val="00733BA2"/>
    <w:rsid w:val="00733E52"/>
    <w:rsid w:val="00736767"/>
    <w:rsid w:val="00741138"/>
    <w:rsid w:val="00741DC1"/>
    <w:rsid w:val="00743428"/>
    <w:rsid w:val="00743464"/>
    <w:rsid w:val="0074462B"/>
    <w:rsid w:val="007467AC"/>
    <w:rsid w:val="00746E74"/>
    <w:rsid w:val="00747C38"/>
    <w:rsid w:val="00751AFD"/>
    <w:rsid w:val="00751D06"/>
    <w:rsid w:val="00751DFC"/>
    <w:rsid w:val="00752C0E"/>
    <w:rsid w:val="00752C16"/>
    <w:rsid w:val="00752E58"/>
    <w:rsid w:val="00754215"/>
    <w:rsid w:val="007545DB"/>
    <w:rsid w:val="00755B23"/>
    <w:rsid w:val="00757E6D"/>
    <w:rsid w:val="00763564"/>
    <w:rsid w:val="007636A3"/>
    <w:rsid w:val="00765A87"/>
    <w:rsid w:val="00765C55"/>
    <w:rsid w:val="0076621D"/>
    <w:rsid w:val="00766961"/>
    <w:rsid w:val="00770551"/>
    <w:rsid w:val="007711D7"/>
    <w:rsid w:val="007711DC"/>
    <w:rsid w:val="00771D26"/>
    <w:rsid w:val="00773437"/>
    <w:rsid w:val="0077442B"/>
    <w:rsid w:val="00774ECE"/>
    <w:rsid w:val="00775160"/>
    <w:rsid w:val="007757B2"/>
    <w:rsid w:val="0077594D"/>
    <w:rsid w:val="00780223"/>
    <w:rsid w:val="00780E04"/>
    <w:rsid w:val="007813EE"/>
    <w:rsid w:val="0078159F"/>
    <w:rsid w:val="00782FD6"/>
    <w:rsid w:val="007834E7"/>
    <w:rsid w:val="0078436A"/>
    <w:rsid w:val="0078482D"/>
    <w:rsid w:val="0078545E"/>
    <w:rsid w:val="00785DA0"/>
    <w:rsid w:val="00786B05"/>
    <w:rsid w:val="00786BC6"/>
    <w:rsid w:val="007875F6"/>
    <w:rsid w:val="00790A48"/>
    <w:rsid w:val="00791A3E"/>
    <w:rsid w:val="007937C3"/>
    <w:rsid w:val="00793BE2"/>
    <w:rsid w:val="007952A6"/>
    <w:rsid w:val="00797041"/>
    <w:rsid w:val="007A026E"/>
    <w:rsid w:val="007A0B41"/>
    <w:rsid w:val="007A2F10"/>
    <w:rsid w:val="007A3656"/>
    <w:rsid w:val="007A3D55"/>
    <w:rsid w:val="007A47B5"/>
    <w:rsid w:val="007A4EC3"/>
    <w:rsid w:val="007A5438"/>
    <w:rsid w:val="007A5795"/>
    <w:rsid w:val="007A5D3A"/>
    <w:rsid w:val="007A6814"/>
    <w:rsid w:val="007A7314"/>
    <w:rsid w:val="007A79AB"/>
    <w:rsid w:val="007A7C8D"/>
    <w:rsid w:val="007B005D"/>
    <w:rsid w:val="007B03C2"/>
    <w:rsid w:val="007B1280"/>
    <w:rsid w:val="007B1331"/>
    <w:rsid w:val="007B184A"/>
    <w:rsid w:val="007B2447"/>
    <w:rsid w:val="007B58DD"/>
    <w:rsid w:val="007C0DB4"/>
    <w:rsid w:val="007C1E6A"/>
    <w:rsid w:val="007C2374"/>
    <w:rsid w:val="007C3367"/>
    <w:rsid w:val="007C34E6"/>
    <w:rsid w:val="007C4B12"/>
    <w:rsid w:val="007C7D0A"/>
    <w:rsid w:val="007D1D5A"/>
    <w:rsid w:val="007D2166"/>
    <w:rsid w:val="007D22D1"/>
    <w:rsid w:val="007D29AD"/>
    <w:rsid w:val="007D51CE"/>
    <w:rsid w:val="007D5352"/>
    <w:rsid w:val="007D5F82"/>
    <w:rsid w:val="007D6DA0"/>
    <w:rsid w:val="007E0FD3"/>
    <w:rsid w:val="007E1488"/>
    <w:rsid w:val="007E1D51"/>
    <w:rsid w:val="007E1FA0"/>
    <w:rsid w:val="007E2B01"/>
    <w:rsid w:val="007E2D1A"/>
    <w:rsid w:val="007E36FA"/>
    <w:rsid w:val="007E3C42"/>
    <w:rsid w:val="007E46CA"/>
    <w:rsid w:val="007E4EE8"/>
    <w:rsid w:val="007E5F94"/>
    <w:rsid w:val="007E7757"/>
    <w:rsid w:val="007F3F87"/>
    <w:rsid w:val="007F41FB"/>
    <w:rsid w:val="007F4C1E"/>
    <w:rsid w:val="007F4C55"/>
    <w:rsid w:val="007F6293"/>
    <w:rsid w:val="007F6C99"/>
    <w:rsid w:val="007F77F9"/>
    <w:rsid w:val="007F785E"/>
    <w:rsid w:val="0080189B"/>
    <w:rsid w:val="008026C4"/>
    <w:rsid w:val="00802CF9"/>
    <w:rsid w:val="008038A7"/>
    <w:rsid w:val="00803BBC"/>
    <w:rsid w:val="00803FC7"/>
    <w:rsid w:val="0080588C"/>
    <w:rsid w:val="00805E9A"/>
    <w:rsid w:val="00807197"/>
    <w:rsid w:val="00807743"/>
    <w:rsid w:val="00811071"/>
    <w:rsid w:val="008110FA"/>
    <w:rsid w:val="0081267A"/>
    <w:rsid w:val="0081452F"/>
    <w:rsid w:val="00815FE5"/>
    <w:rsid w:val="008165F8"/>
    <w:rsid w:val="00817660"/>
    <w:rsid w:val="00817B69"/>
    <w:rsid w:val="00820A88"/>
    <w:rsid w:val="0082197E"/>
    <w:rsid w:val="00822EB5"/>
    <w:rsid w:val="00823BCA"/>
    <w:rsid w:val="0082441C"/>
    <w:rsid w:val="00824758"/>
    <w:rsid w:val="008252C0"/>
    <w:rsid w:val="0082764F"/>
    <w:rsid w:val="00827CAA"/>
    <w:rsid w:val="00830E4A"/>
    <w:rsid w:val="00830F82"/>
    <w:rsid w:val="008311BB"/>
    <w:rsid w:val="0083411A"/>
    <w:rsid w:val="008362C4"/>
    <w:rsid w:val="00840126"/>
    <w:rsid w:val="008403AA"/>
    <w:rsid w:val="008408DF"/>
    <w:rsid w:val="008426F1"/>
    <w:rsid w:val="00842AA1"/>
    <w:rsid w:val="00843AA1"/>
    <w:rsid w:val="00844175"/>
    <w:rsid w:val="0084418D"/>
    <w:rsid w:val="00845882"/>
    <w:rsid w:val="008460D6"/>
    <w:rsid w:val="00847252"/>
    <w:rsid w:val="00850A44"/>
    <w:rsid w:val="00852FE0"/>
    <w:rsid w:val="00853998"/>
    <w:rsid w:val="008544FF"/>
    <w:rsid w:val="008551F0"/>
    <w:rsid w:val="0085578B"/>
    <w:rsid w:val="00855B3E"/>
    <w:rsid w:val="008565FF"/>
    <w:rsid w:val="00857BB7"/>
    <w:rsid w:val="0086175F"/>
    <w:rsid w:val="00862301"/>
    <w:rsid w:val="008634C5"/>
    <w:rsid w:val="00863CD4"/>
    <w:rsid w:val="00865C00"/>
    <w:rsid w:val="00867286"/>
    <w:rsid w:val="008702B1"/>
    <w:rsid w:val="0087039E"/>
    <w:rsid w:val="008706CE"/>
    <w:rsid w:val="00871020"/>
    <w:rsid w:val="00872F6A"/>
    <w:rsid w:val="00874C9B"/>
    <w:rsid w:val="00875646"/>
    <w:rsid w:val="00875D9C"/>
    <w:rsid w:val="0087621C"/>
    <w:rsid w:val="008827F6"/>
    <w:rsid w:val="00882E92"/>
    <w:rsid w:val="00882F6E"/>
    <w:rsid w:val="00884703"/>
    <w:rsid w:val="00884802"/>
    <w:rsid w:val="00884E9F"/>
    <w:rsid w:val="00891C56"/>
    <w:rsid w:val="00893541"/>
    <w:rsid w:val="00893C15"/>
    <w:rsid w:val="00895321"/>
    <w:rsid w:val="00895ABD"/>
    <w:rsid w:val="00895E50"/>
    <w:rsid w:val="00896BB7"/>
    <w:rsid w:val="008A0F90"/>
    <w:rsid w:val="008A14DF"/>
    <w:rsid w:val="008A16E4"/>
    <w:rsid w:val="008A20C9"/>
    <w:rsid w:val="008A245C"/>
    <w:rsid w:val="008A298C"/>
    <w:rsid w:val="008A426A"/>
    <w:rsid w:val="008A5A0E"/>
    <w:rsid w:val="008A5AF9"/>
    <w:rsid w:val="008A669A"/>
    <w:rsid w:val="008B0B10"/>
    <w:rsid w:val="008B0DCF"/>
    <w:rsid w:val="008B18C6"/>
    <w:rsid w:val="008B20CF"/>
    <w:rsid w:val="008B2132"/>
    <w:rsid w:val="008B2368"/>
    <w:rsid w:val="008B7301"/>
    <w:rsid w:val="008B7BAD"/>
    <w:rsid w:val="008C078E"/>
    <w:rsid w:val="008C1B74"/>
    <w:rsid w:val="008C21FA"/>
    <w:rsid w:val="008C4DEE"/>
    <w:rsid w:val="008C577D"/>
    <w:rsid w:val="008C7151"/>
    <w:rsid w:val="008C72B7"/>
    <w:rsid w:val="008C7391"/>
    <w:rsid w:val="008D0A67"/>
    <w:rsid w:val="008D1DE8"/>
    <w:rsid w:val="008D4A81"/>
    <w:rsid w:val="008D5EC3"/>
    <w:rsid w:val="008D6348"/>
    <w:rsid w:val="008D7215"/>
    <w:rsid w:val="008E0802"/>
    <w:rsid w:val="008E1BDE"/>
    <w:rsid w:val="008E446D"/>
    <w:rsid w:val="008E58EF"/>
    <w:rsid w:val="008E76AE"/>
    <w:rsid w:val="008F084C"/>
    <w:rsid w:val="008F2C90"/>
    <w:rsid w:val="008F37B0"/>
    <w:rsid w:val="008F39E8"/>
    <w:rsid w:val="008F4F9F"/>
    <w:rsid w:val="008F6770"/>
    <w:rsid w:val="0090205C"/>
    <w:rsid w:val="00902199"/>
    <w:rsid w:val="00903B37"/>
    <w:rsid w:val="00903B69"/>
    <w:rsid w:val="009043D1"/>
    <w:rsid w:val="00904FC8"/>
    <w:rsid w:val="00905929"/>
    <w:rsid w:val="00907500"/>
    <w:rsid w:val="00911BC0"/>
    <w:rsid w:val="009123F4"/>
    <w:rsid w:val="009138FF"/>
    <w:rsid w:val="00913E58"/>
    <w:rsid w:val="00914436"/>
    <w:rsid w:val="00914901"/>
    <w:rsid w:val="0091626C"/>
    <w:rsid w:val="00922FB5"/>
    <w:rsid w:val="009235EF"/>
    <w:rsid w:val="00924BA4"/>
    <w:rsid w:val="00926C2D"/>
    <w:rsid w:val="00927072"/>
    <w:rsid w:val="00930765"/>
    <w:rsid w:val="0093230C"/>
    <w:rsid w:val="00932978"/>
    <w:rsid w:val="00932EF4"/>
    <w:rsid w:val="009332A4"/>
    <w:rsid w:val="00934134"/>
    <w:rsid w:val="009343F2"/>
    <w:rsid w:val="00937220"/>
    <w:rsid w:val="009406E0"/>
    <w:rsid w:val="009426FA"/>
    <w:rsid w:val="00942880"/>
    <w:rsid w:val="00943AE7"/>
    <w:rsid w:val="00944557"/>
    <w:rsid w:val="009454FE"/>
    <w:rsid w:val="00945856"/>
    <w:rsid w:val="00945F59"/>
    <w:rsid w:val="009465B0"/>
    <w:rsid w:val="00946FDC"/>
    <w:rsid w:val="009475D2"/>
    <w:rsid w:val="00947A34"/>
    <w:rsid w:val="00950F51"/>
    <w:rsid w:val="009514DC"/>
    <w:rsid w:val="0095196B"/>
    <w:rsid w:val="009535A6"/>
    <w:rsid w:val="00954632"/>
    <w:rsid w:val="00954B59"/>
    <w:rsid w:val="009617F1"/>
    <w:rsid w:val="00962B5B"/>
    <w:rsid w:val="0096301C"/>
    <w:rsid w:val="00963068"/>
    <w:rsid w:val="00963284"/>
    <w:rsid w:val="00963329"/>
    <w:rsid w:val="00964C62"/>
    <w:rsid w:val="00964ED9"/>
    <w:rsid w:val="00967885"/>
    <w:rsid w:val="00972F0E"/>
    <w:rsid w:val="009744CC"/>
    <w:rsid w:val="00974A7F"/>
    <w:rsid w:val="00974FCF"/>
    <w:rsid w:val="00976DE6"/>
    <w:rsid w:val="00985A1B"/>
    <w:rsid w:val="0098634F"/>
    <w:rsid w:val="0099036D"/>
    <w:rsid w:val="009904C6"/>
    <w:rsid w:val="00993215"/>
    <w:rsid w:val="00993831"/>
    <w:rsid w:val="009946D0"/>
    <w:rsid w:val="00995FFD"/>
    <w:rsid w:val="009A1B7E"/>
    <w:rsid w:val="009A2140"/>
    <w:rsid w:val="009A22C7"/>
    <w:rsid w:val="009A2D69"/>
    <w:rsid w:val="009A3EFE"/>
    <w:rsid w:val="009A4601"/>
    <w:rsid w:val="009A6470"/>
    <w:rsid w:val="009A698D"/>
    <w:rsid w:val="009B008D"/>
    <w:rsid w:val="009B056E"/>
    <w:rsid w:val="009B1A28"/>
    <w:rsid w:val="009B36A1"/>
    <w:rsid w:val="009B4A5A"/>
    <w:rsid w:val="009B5631"/>
    <w:rsid w:val="009B6297"/>
    <w:rsid w:val="009B673B"/>
    <w:rsid w:val="009B6A57"/>
    <w:rsid w:val="009B6A9C"/>
    <w:rsid w:val="009B70D0"/>
    <w:rsid w:val="009C122F"/>
    <w:rsid w:val="009C18E3"/>
    <w:rsid w:val="009C2BC6"/>
    <w:rsid w:val="009C3292"/>
    <w:rsid w:val="009C33FD"/>
    <w:rsid w:val="009C420A"/>
    <w:rsid w:val="009C4762"/>
    <w:rsid w:val="009C4C69"/>
    <w:rsid w:val="009C4F5B"/>
    <w:rsid w:val="009C5133"/>
    <w:rsid w:val="009C532D"/>
    <w:rsid w:val="009C62B8"/>
    <w:rsid w:val="009C6971"/>
    <w:rsid w:val="009C76CA"/>
    <w:rsid w:val="009C7EFA"/>
    <w:rsid w:val="009D00D0"/>
    <w:rsid w:val="009D0C6C"/>
    <w:rsid w:val="009D1620"/>
    <w:rsid w:val="009D4D2D"/>
    <w:rsid w:val="009D5609"/>
    <w:rsid w:val="009D586F"/>
    <w:rsid w:val="009D5877"/>
    <w:rsid w:val="009D613A"/>
    <w:rsid w:val="009D6BF3"/>
    <w:rsid w:val="009D72D1"/>
    <w:rsid w:val="009E08A0"/>
    <w:rsid w:val="009E51E1"/>
    <w:rsid w:val="009E5B55"/>
    <w:rsid w:val="009E614B"/>
    <w:rsid w:val="009E64D5"/>
    <w:rsid w:val="009E7248"/>
    <w:rsid w:val="009E7D48"/>
    <w:rsid w:val="009F3557"/>
    <w:rsid w:val="009F409C"/>
    <w:rsid w:val="009F423F"/>
    <w:rsid w:val="009F42A1"/>
    <w:rsid w:val="009F42E2"/>
    <w:rsid w:val="009F4C0C"/>
    <w:rsid w:val="009F4CC8"/>
    <w:rsid w:val="009F4EBF"/>
    <w:rsid w:val="009F6437"/>
    <w:rsid w:val="009F6F5A"/>
    <w:rsid w:val="009F7425"/>
    <w:rsid w:val="00A00195"/>
    <w:rsid w:val="00A011EF"/>
    <w:rsid w:val="00A025FB"/>
    <w:rsid w:val="00A0361E"/>
    <w:rsid w:val="00A0485F"/>
    <w:rsid w:val="00A054EB"/>
    <w:rsid w:val="00A055EB"/>
    <w:rsid w:val="00A06538"/>
    <w:rsid w:val="00A12B25"/>
    <w:rsid w:val="00A1458B"/>
    <w:rsid w:val="00A153B9"/>
    <w:rsid w:val="00A15752"/>
    <w:rsid w:val="00A16C52"/>
    <w:rsid w:val="00A22C77"/>
    <w:rsid w:val="00A230BB"/>
    <w:rsid w:val="00A2442A"/>
    <w:rsid w:val="00A24884"/>
    <w:rsid w:val="00A262B8"/>
    <w:rsid w:val="00A2670A"/>
    <w:rsid w:val="00A31520"/>
    <w:rsid w:val="00A31565"/>
    <w:rsid w:val="00A31ECD"/>
    <w:rsid w:val="00A346B9"/>
    <w:rsid w:val="00A354E5"/>
    <w:rsid w:val="00A36BB2"/>
    <w:rsid w:val="00A40084"/>
    <w:rsid w:val="00A4136F"/>
    <w:rsid w:val="00A430EF"/>
    <w:rsid w:val="00A45B87"/>
    <w:rsid w:val="00A465DE"/>
    <w:rsid w:val="00A473BB"/>
    <w:rsid w:val="00A47616"/>
    <w:rsid w:val="00A47EA0"/>
    <w:rsid w:val="00A5039F"/>
    <w:rsid w:val="00A52E4D"/>
    <w:rsid w:val="00A5382C"/>
    <w:rsid w:val="00A539ED"/>
    <w:rsid w:val="00A53AFA"/>
    <w:rsid w:val="00A55E59"/>
    <w:rsid w:val="00A56687"/>
    <w:rsid w:val="00A56A6B"/>
    <w:rsid w:val="00A60080"/>
    <w:rsid w:val="00A60FBC"/>
    <w:rsid w:val="00A6148D"/>
    <w:rsid w:val="00A61767"/>
    <w:rsid w:val="00A624BC"/>
    <w:rsid w:val="00A62542"/>
    <w:rsid w:val="00A62F85"/>
    <w:rsid w:val="00A63740"/>
    <w:rsid w:val="00A63990"/>
    <w:rsid w:val="00A64BD7"/>
    <w:rsid w:val="00A64C83"/>
    <w:rsid w:val="00A655A8"/>
    <w:rsid w:val="00A6612A"/>
    <w:rsid w:val="00A6659B"/>
    <w:rsid w:val="00A66FF3"/>
    <w:rsid w:val="00A7371D"/>
    <w:rsid w:val="00A751F8"/>
    <w:rsid w:val="00A7694C"/>
    <w:rsid w:val="00A7752E"/>
    <w:rsid w:val="00A77A51"/>
    <w:rsid w:val="00A8053B"/>
    <w:rsid w:val="00A81C3B"/>
    <w:rsid w:val="00A829BD"/>
    <w:rsid w:val="00A85B2F"/>
    <w:rsid w:val="00A86FFD"/>
    <w:rsid w:val="00A8711D"/>
    <w:rsid w:val="00A87AF3"/>
    <w:rsid w:val="00A87CC7"/>
    <w:rsid w:val="00A90ADE"/>
    <w:rsid w:val="00A9198F"/>
    <w:rsid w:val="00A92B56"/>
    <w:rsid w:val="00A93CF8"/>
    <w:rsid w:val="00A966F6"/>
    <w:rsid w:val="00AA02EB"/>
    <w:rsid w:val="00AA09C0"/>
    <w:rsid w:val="00AA0DA5"/>
    <w:rsid w:val="00AA18F4"/>
    <w:rsid w:val="00AA250B"/>
    <w:rsid w:val="00AA2B74"/>
    <w:rsid w:val="00AA2D81"/>
    <w:rsid w:val="00AA30D1"/>
    <w:rsid w:val="00AA3204"/>
    <w:rsid w:val="00AA3A5B"/>
    <w:rsid w:val="00AA532E"/>
    <w:rsid w:val="00AA5F43"/>
    <w:rsid w:val="00AA610F"/>
    <w:rsid w:val="00AA6468"/>
    <w:rsid w:val="00AA6CFA"/>
    <w:rsid w:val="00AA6EC0"/>
    <w:rsid w:val="00AA7EB3"/>
    <w:rsid w:val="00AB364A"/>
    <w:rsid w:val="00AB46F2"/>
    <w:rsid w:val="00AB4B8D"/>
    <w:rsid w:val="00AB67B3"/>
    <w:rsid w:val="00AB6BFB"/>
    <w:rsid w:val="00AB7140"/>
    <w:rsid w:val="00AB75FC"/>
    <w:rsid w:val="00AC2323"/>
    <w:rsid w:val="00AC2917"/>
    <w:rsid w:val="00AC5DDB"/>
    <w:rsid w:val="00AD1460"/>
    <w:rsid w:val="00AD2B47"/>
    <w:rsid w:val="00AD3212"/>
    <w:rsid w:val="00AD5EA3"/>
    <w:rsid w:val="00AD7102"/>
    <w:rsid w:val="00AD7132"/>
    <w:rsid w:val="00AE006E"/>
    <w:rsid w:val="00AE1455"/>
    <w:rsid w:val="00AE2F53"/>
    <w:rsid w:val="00AE378B"/>
    <w:rsid w:val="00AE4A82"/>
    <w:rsid w:val="00AE53CC"/>
    <w:rsid w:val="00AF1467"/>
    <w:rsid w:val="00AF192C"/>
    <w:rsid w:val="00AF1BD4"/>
    <w:rsid w:val="00AF37CC"/>
    <w:rsid w:val="00AF47F2"/>
    <w:rsid w:val="00AF58C3"/>
    <w:rsid w:val="00AF6C29"/>
    <w:rsid w:val="00B01600"/>
    <w:rsid w:val="00B01E46"/>
    <w:rsid w:val="00B03DB6"/>
    <w:rsid w:val="00B044DB"/>
    <w:rsid w:val="00B04907"/>
    <w:rsid w:val="00B0513F"/>
    <w:rsid w:val="00B0675C"/>
    <w:rsid w:val="00B106EF"/>
    <w:rsid w:val="00B11175"/>
    <w:rsid w:val="00B115B3"/>
    <w:rsid w:val="00B12628"/>
    <w:rsid w:val="00B133C4"/>
    <w:rsid w:val="00B13A21"/>
    <w:rsid w:val="00B13CE6"/>
    <w:rsid w:val="00B149A4"/>
    <w:rsid w:val="00B14B2A"/>
    <w:rsid w:val="00B14C68"/>
    <w:rsid w:val="00B15E35"/>
    <w:rsid w:val="00B169C0"/>
    <w:rsid w:val="00B16EDB"/>
    <w:rsid w:val="00B20106"/>
    <w:rsid w:val="00B20E0E"/>
    <w:rsid w:val="00B21142"/>
    <w:rsid w:val="00B211A2"/>
    <w:rsid w:val="00B21271"/>
    <w:rsid w:val="00B21C68"/>
    <w:rsid w:val="00B24DB4"/>
    <w:rsid w:val="00B27695"/>
    <w:rsid w:val="00B30A03"/>
    <w:rsid w:val="00B31AB3"/>
    <w:rsid w:val="00B32EF2"/>
    <w:rsid w:val="00B35C2F"/>
    <w:rsid w:val="00B35CCC"/>
    <w:rsid w:val="00B36216"/>
    <w:rsid w:val="00B366BB"/>
    <w:rsid w:val="00B378C8"/>
    <w:rsid w:val="00B41411"/>
    <w:rsid w:val="00B41D2B"/>
    <w:rsid w:val="00B4316D"/>
    <w:rsid w:val="00B43968"/>
    <w:rsid w:val="00B44390"/>
    <w:rsid w:val="00B44C5A"/>
    <w:rsid w:val="00B4527F"/>
    <w:rsid w:val="00B45D26"/>
    <w:rsid w:val="00B47AF4"/>
    <w:rsid w:val="00B502DC"/>
    <w:rsid w:val="00B52789"/>
    <w:rsid w:val="00B52A80"/>
    <w:rsid w:val="00B538E4"/>
    <w:rsid w:val="00B53C9B"/>
    <w:rsid w:val="00B54E7C"/>
    <w:rsid w:val="00B555BB"/>
    <w:rsid w:val="00B556B0"/>
    <w:rsid w:val="00B556FA"/>
    <w:rsid w:val="00B5641E"/>
    <w:rsid w:val="00B57855"/>
    <w:rsid w:val="00B60BC1"/>
    <w:rsid w:val="00B62B36"/>
    <w:rsid w:val="00B62DD7"/>
    <w:rsid w:val="00B6319C"/>
    <w:rsid w:val="00B6501F"/>
    <w:rsid w:val="00B65A02"/>
    <w:rsid w:val="00B66C3E"/>
    <w:rsid w:val="00B67887"/>
    <w:rsid w:val="00B7003F"/>
    <w:rsid w:val="00B7071B"/>
    <w:rsid w:val="00B707E2"/>
    <w:rsid w:val="00B70BAD"/>
    <w:rsid w:val="00B72A2C"/>
    <w:rsid w:val="00B72B4F"/>
    <w:rsid w:val="00B734FD"/>
    <w:rsid w:val="00B74912"/>
    <w:rsid w:val="00B74CF8"/>
    <w:rsid w:val="00B83D41"/>
    <w:rsid w:val="00B8412F"/>
    <w:rsid w:val="00B84820"/>
    <w:rsid w:val="00B84944"/>
    <w:rsid w:val="00B84F48"/>
    <w:rsid w:val="00B8782D"/>
    <w:rsid w:val="00B87B0D"/>
    <w:rsid w:val="00B90024"/>
    <w:rsid w:val="00B900CD"/>
    <w:rsid w:val="00B9108B"/>
    <w:rsid w:val="00B914A6"/>
    <w:rsid w:val="00B9271D"/>
    <w:rsid w:val="00B92B07"/>
    <w:rsid w:val="00B92E1F"/>
    <w:rsid w:val="00B93818"/>
    <w:rsid w:val="00B94267"/>
    <w:rsid w:val="00B94E16"/>
    <w:rsid w:val="00B94EDA"/>
    <w:rsid w:val="00B94FA4"/>
    <w:rsid w:val="00B97CE4"/>
    <w:rsid w:val="00B97DB9"/>
    <w:rsid w:val="00BA0F24"/>
    <w:rsid w:val="00BA4244"/>
    <w:rsid w:val="00BB0553"/>
    <w:rsid w:val="00BB10BA"/>
    <w:rsid w:val="00BB127C"/>
    <w:rsid w:val="00BB1A27"/>
    <w:rsid w:val="00BB1B76"/>
    <w:rsid w:val="00BB33C5"/>
    <w:rsid w:val="00BB3AEC"/>
    <w:rsid w:val="00BB434F"/>
    <w:rsid w:val="00BB4F45"/>
    <w:rsid w:val="00BB6D2E"/>
    <w:rsid w:val="00BC0195"/>
    <w:rsid w:val="00BC282E"/>
    <w:rsid w:val="00BC4568"/>
    <w:rsid w:val="00BC4865"/>
    <w:rsid w:val="00BC63C5"/>
    <w:rsid w:val="00BC6B17"/>
    <w:rsid w:val="00BC7E4B"/>
    <w:rsid w:val="00BD379D"/>
    <w:rsid w:val="00BD38D0"/>
    <w:rsid w:val="00BD3FDF"/>
    <w:rsid w:val="00BD5206"/>
    <w:rsid w:val="00BD5828"/>
    <w:rsid w:val="00BD6A10"/>
    <w:rsid w:val="00BD77BF"/>
    <w:rsid w:val="00BE0357"/>
    <w:rsid w:val="00BE0DC6"/>
    <w:rsid w:val="00BE1919"/>
    <w:rsid w:val="00BE1F40"/>
    <w:rsid w:val="00BE3A22"/>
    <w:rsid w:val="00BE432D"/>
    <w:rsid w:val="00BE4BC6"/>
    <w:rsid w:val="00BE4FFD"/>
    <w:rsid w:val="00BF100E"/>
    <w:rsid w:val="00BF150A"/>
    <w:rsid w:val="00BF3458"/>
    <w:rsid w:val="00BF3D37"/>
    <w:rsid w:val="00BF3DA1"/>
    <w:rsid w:val="00BF5592"/>
    <w:rsid w:val="00BF5D4E"/>
    <w:rsid w:val="00BF6E22"/>
    <w:rsid w:val="00BF7536"/>
    <w:rsid w:val="00C005D5"/>
    <w:rsid w:val="00C008B2"/>
    <w:rsid w:val="00C010F8"/>
    <w:rsid w:val="00C01348"/>
    <w:rsid w:val="00C01371"/>
    <w:rsid w:val="00C03369"/>
    <w:rsid w:val="00C043AD"/>
    <w:rsid w:val="00C04AC8"/>
    <w:rsid w:val="00C05362"/>
    <w:rsid w:val="00C053A4"/>
    <w:rsid w:val="00C06FDA"/>
    <w:rsid w:val="00C075CC"/>
    <w:rsid w:val="00C07F82"/>
    <w:rsid w:val="00C11B98"/>
    <w:rsid w:val="00C11E2A"/>
    <w:rsid w:val="00C12EEF"/>
    <w:rsid w:val="00C138E6"/>
    <w:rsid w:val="00C13C6C"/>
    <w:rsid w:val="00C14387"/>
    <w:rsid w:val="00C155CA"/>
    <w:rsid w:val="00C15699"/>
    <w:rsid w:val="00C161E2"/>
    <w:rsid w:val="00C20469"/>
    <w:rsid w:val="00C220F6"/>
    <w:rsid w:val="00C22EC9"/>
    <w:rsid w:val="00C23632"/>
    <w:rsid w:val="00C30718"/>
    <w:rsid w:val="00C316E5"/>
    <w:rsid w:val="00C3303F"/>
    <w:rsid w:val="00C33795"/>
    <w:rsid w:val="00C3416E"/>
    <w:rsid w:val="00C35362"/>
    <w:rsid w:val="00C35C47"/>
    <w:rsid w:val="00C37382"/>
    <w:rsid w:val="00C413CB"/>
    <w:rsid w:val="00C4170C"/>
    <w:rsid w:val="00C426DB"/>
    <w:rsid w:val="00C43675"/>
    <w:rsid w:val="00C459EE"/>
    <w:rsid w:val="00C471EA"/>
    <w:rsid w:val="00C50B93"/>
    <w:rsid w:val="00C513C1"/>
    <w:rsid w:val="00C5225D"/>
    <w:rsid w:val="00C5241B"/>
    <w:rsid w:val="00C546E7"/>
    <w:rsid w:val="00C5504F"/>
    <w:rsid w:val="00C55157"/>
    <w:rsid w:val="00C55285"/>
    <w:rsid w:val="00C555E0"/>
    <w:rsid w:val="00C55F31"/>
    <w:rsid w:val="00C57D84"/>
    <w:rsid w:val="00C61879"/>
    <w:rsid w:val="00C64B11"/>
    <w:rsid w:val="00C65A2B"/>
    <w:rsid w:val="00C70300"/>
    <w:rsid w:val="00C71D89"/>
    <w:rsid w:val="00C71F32"/>
    <w:rsid w:val="00C731EB"/>
    <w:rsid w:val="00C7334A"/>
    <w:rsid w:val="00C74B8C"/>
    <w:rsid w:val="00C75A10"/>
    <w:rsid w:val="00C75EA0"/>
    <w:rsid w:val="00C76F62"/>
    <w:rsid w:val="00C805DC"/>
    <w:rsid w:val="00C80ECE"/>
    <w:rsid w:val="00C80FCA"/>
    <w:rsid w:val="00C841B1"/>
    <w:rsid w:val="00C84B4E"/>
    <w:rsid w:val="00C85B85"/>
    <w:rsid w:val="00C86EA4"/>
    <w:rsid w:val="00C87B07"/>
    <w:rsid w:val="00C901B9"/>
    <w:rsid w:val="00C92109"/>
    <w:rsid w:val="00C94245"/>
    <w:rsid w:val="00C943D6"/>
    <w:rsid w:val="00C9493B"/>
    <w:rsid w:val="00C957B1"/>
    <w:rsid w:val="00CA0DCF"/>
    <w:rsid w:val="00CA18DF"/>
    <w:rsid w:val="00CA1CB7"/>
    <w:rsid w:val="00CA45D2"/>
    <w:rsid w:val="00CA519E"/>
    <w:rsid w:val="00CA5D94"/>
    <w:rsid w:val="00CA701F"/>
    <w:rsid w:val="00CA7A43"/>
    <w:rsid w:val="00CB003F"/>
    <w:rsid w:val="00CB03DC"/>
    <w:rsid w:val="00CB0A73"/>
    <w:rsid w:val="00CB4022"/>
    <w:rsid w:val="00CB4729"/>
    <w:rsid w:val="00CB6108"/>
    <w:rsid w:val="00CB62A1"/>
    <w:rsid w:val="00CB7486"/>
    <w:rsid w:val="00CC0FBA"/>
    <w:rsid w:val="00CC1EE8"/>
    <w:rsid w:val="00CC4152"/>
    <w:rsid w:val="00CC4951"/>
    <w:rsid w:val="00CC4E06"/>
    <w:rsid w:val="00CC4E24"/>
    <w:rsid w:val="00CC4FE6"/>
    <w:rsid w:val="00CC64F0"/>
    <w:rsid w:val="00CC66D9"/>
    <w:rsid w:val="00CC68B1"/>
    <w:rsid w:val="00CC751C"/>
    <w:rsid w:val="00CC7FB0"/>
    <w:rsid w:val="00CD1A51"/>
    <w:rsid w:val="00CD1E65"/>
    <w:rsid w:val="00CD35D9"/>
    <w:rsid w:val="00CD4003"/>
    <w:rsid w:val="00CD448B"/>
    <w:rsid w:val="00CD44F8"/>
    <w:rsid w:val="00CD610D"/>
    <w:rsid w:val="00CD6465"/>
    <w:rsid w:val="00CD73DC"/>
    <w:rsid w:val="00CE14E0"/>
    <w:rsid w:val="00CE1B30"/>
    <w:rsid w:val="00CE2CCC"/>
    <w:rsid w:val="00CE2FE8"/>
    <w:rsid w:val="00CE395B"/>
    <w:rsid w:val="00CE3F37"/>
    <w:rsid w:val="00CE43AC"/>
    <w:rsid w:val="00CE4DFB"/>
    <w:rsid w:val="00CE53DC"/>
    <w:rsid w:val="00CE5998"/>
    <w:rsid w:val="00CE62F5"/>
    <w:rsid w:val="00CE7D0D"/>
    <w:rsid w:val="00CF0140"/>
    <w:rsid w:val="00CF0BE7"/>
    <w:rsid w:val="00CF1124"/>
    <w:rsid w:val="00CF12C6"/>
    <w:rsid w:val="00CF1A93"/>
    <w:rsid w:val="00CF1F9A"/>
    <w:rsid w:val="00CF27D6"/>
    <w:rsid w:val="00CF4843"/>
    <w:rsid w:val="00CF7589"/>
    <w:rsid w:val="00D0031A"/>
    <w:rsid w:val="00D00BA9"/>
    <w:rsid w:val="00D01E81"/>
    <w:rsid w:val="00D03885"/>
    <w:rsid w:val="00D05EC5"/>
    <w:rsid w:val="00D05F2B"/>
    <w:rsid w:val="00D06003"/>
    <w:rsid w:val="00D12B32"/>
    <w:rsid w:val="00D1530A"/>
    <w:rsid w:val="00D17731"/>
    <w:rsid w:val="00D20846"/>
    <w:rsid w:val="00D20934"/>
    <w:rsid w:val="00D218C8"/>
    <w:rsid w:val="00D21B65"/>
    <w:rsid w:val="00D2333C"/>
    <w:rsid w:val="00D235BE"/>
    <w:rsid w:val="00D24100"/>
    <w:rsid w:val="00D2459E"/>
    <w:rsid w:val="00D25046"/>
    <w:rsid w:val="00D254E2"/>
    <w:rsid w:val="00D25A8D"/>
    <w:rsid w:val="00D25EE1"/>
    <w:rsid w:val="00D26B87"/>
    <w:rsid w:val="00D27118"/>
    <w:rsid w:val="00D30BE7"/>
    <w:rsid w:val="00D331E8"/>
    <w:rsid w:val="00D348F1"/>
    <w:rsid w:val="00D355AA"/>
    <w:rsid w:val="00D359E9"/>
    <w:rsid w:val="00D368AD"/>
    <w:rsid w:val="00D37F63"/>
    <w:rsid w:val="00D443BC"/>
    <w:rsid w:val="00D45629"/>
    <w:rsid w:val="00D45E18"/>
    <w:rsid w:val="00D46500"/>
    <w:rsid w:val="00D474BF"/>
    <w:rsid w:val="00D515FC"/>
    <w:rsid w:val="00D525E3"/>
    <w:rsid w:val="00D526E0"/>
    <w:rsid w:val="00D5354D"/>
    <w:rsid w:val="00D53E16"/>
    <w:rsid w:val="00D544BC"/>
    <w:rsid w:val="00D54788"/>
    <w:rsid w:val="00D571D5"/>
    <w:rsid w:val="00D6039E"/>
    <w:rsid w:val="00D60EF7"/>
    <w:rsid w:val="00D62035"/>
    <w:rsid w:val="00D62640"/>
    <w:rsid w:val="00D63CAE"/>
    <w:rsid w:val="00D64E4E"/>
    <w:rsid w:val="00D64E84"/>
    <w:rsid w:val="00D659DD"/>
    <w:rsid w:val="00D661DC"/>
    <w:rsid w:val="00D66585"/>
    <w:rsid w:val="00D666FC"/>
    <w:rsid w:val="00D67094"/>
    <w:rsid w:val="00D6713B"/>
    <w:rsid w:val="00D7080A"/>
    <w:rsid w:val="00D71670"/>
    <w:rsid w:val="00D720FF"/>
    <w:rsid w:val="00D7256E"/>
    <w:rsid w:val="00D726B6"/>
    <w:rsid w:val="00D7379B"/>
    <w:rsid w:val="00D75328"/>
    <w:rsid w:val="00D75DA6"/>
    <w:rsid w:val="00D767DE"/>
    <w:rsid w:val="00D77130"/>
    <w:rsid w:val="00D82496"/>
    <w:rsid w:val="00D83893"/>
    <w:rsid w:val="00D84712"/>
    <w:rsid w:val="00D847DB"/>
    <w:rsid w:val="00D84F44"/>
    <w:rsid w:val="00D8649F"/>
    <w:rsid w:val="00D878D2"/>
    <w:rsid w:val="00D90CA4"/>
    <w:rsid w:val="00D93677"/>
    <w:rsid w:val="00D95492"/>
    <w:rsid w:val="00D97BA4"/>
    <w:rsid w:val="00DA053B"/>
    <w:rsid w:val="00DA0C16"/>
    <w:rsid w:val="00DA0CFB"/>
    <w:rsid w:val="00DA107C"/>
    <w:rsid w:val="00DA258C"/>
    <w:rsid w:val="00DA2626"/>
    <w:rsid w:val="00DA2FB6"/>
    <w:rsid w:val="00DA32CE"/>
    <w:rsid w:val="00DA3B91"/>
    <w:rsid w:val="00DA4091"/>
    <w:rsid w:val="00DA5087"/>
    <w:rsid w:val="00DA5090"/>
    <w:rsid w:val="00DA5518"/>
    <w:rsid w:val="00DA6D40"/>
    <w:rsid w:val="00DA7108"/>
    <w:rsid w:val="00DA77AC"/>
    <w:rsid w:val="00DB055E"/>
    <w:rsid w:val="00DB3485"/>
    <w:rsid w:val="00DB4DE9"/>
    <w:rsid w:val="00DB70FB"/>
    <w:rsid w:val="00DB725E"/>
    <w:rsid w:val="00DC047B"/>
    <w:rsid w:val="00DC13D8"/>
    <w:rsid w:val="00DC318F"/>
    <w:rsid w:val="00DC35DF"/>
    <w:rsid w:val="00DC533D"/>
    <w:rsid w:val="00DD0681"/>
    <w:rsid w:val="00DD08FF"/>
    <w:rsid w:val="00DD0A99"/>
    <w:rsid w:val="00DD1374"/>
    <w:rsid w:val="00DD2E9D"/>
    <w:rsid w:val="00DD3BCA"/>
    <w:rsid w:val="00DD42A4"/>
    <w:rsid w:val="00DD4587"/>
    <w:rsid w:val="00DD48EC"/>
    <w:rsid w:val="00DD5902"/>
    <w:rsid w:val="00DD5C4A"/>
    <w:rsid w:val="00DD5D37"/>
    <w:rsid w:val="00DD5D6B"/>
    <w:rsid w:val="00DD7709"/>
    <w:rsid w:val="00DE0543"/>
    <w:rsid w:val="00DE06CE"/>
    <w:rsid w:val="00DE0966"/>
    <w:rsid w:val="00DE1E7D"/>
    <w:rsid w:val="00DE27A3"/>
    <w:rsid w:val="00DE324B"/>
    <w:rsid w:val="00DE3873"/>
    <w:rsid w:val="00DE39D0"/>
    <w:rsid w:val="00DE475C"/>
    <w:rsid w:val="00DE4858"/>
    <w:rsid w:val="00DE4F15"/>
    <w:rsid w:val="00DE5086"/>
    <w:rsid w:val="00DE51C9"/>
    <w:rsid w:val="00DE51DA"/>
    <w:rsid w:val="00DE6E5B"/>
    <w:rsid w:val="00DE6F3F"/>
    <w:rsid w:val="00DF099B"/>
    <w:rsid w:val="00DF3504"/>
    <w:rsid w:val="00DF3D23"/>
    <w:rsid w:val="00DF4246"/>
    <w:rsid w:val="00DF6F15"/>
    <w:rsid w:val="00DF7145"/>
    <w:rsid w:val="00DF73B6"/>
    <w:rsid w:val="00DF78F8"/>
    <w:rsid w:val="00E001D5"/>
    <w:rsid w:val="00E017AA"/>
    <w:rsid w:val="00E03745"/>
    <w:rsid w:val="00E037B3"/>
    <w:rsid w:val="00E04904"/>
    <w:rsid w:val="00E05E28"/>
    <w:rsid w:val="00E06AC9"/>
    <w:rsid w:val="00E10373"/>
    <w:rsid w:val="00E13810"/>
    <w:rsid w:val="00E1419D"/>
    <w:rsid w:val="00E14862"/>
    <w:rsid w:val="00E14D8E"/>
    <w:rsid w:val="00E14E7E"/>
    <w:rsid w:val="00E1545C"/>
    <w:rsid w:val="00E158DE"/>
    <w:rsid w:val="00E165FD"/>
    <w:rsid w:val="00E17695"/>
    <w:rsid w:val="00E17FD2"/>
    <w:rsid w:val="00E23A2F"/>
    <w:rsid w:val="00E23A5A"/>
    <w:rsid w:val="00E24045"/>
    <w:rsid w:val="00E240E4"/>
    <w:rsid w:val="00E24922"/>
    <w:rsid w:val="00E24F2C"/>
    <w:rsid w:val="00E255FB"/>
    <w:rsid w:val="00E26361"/>
    <w:rsid w:val="00E27EDC"/>
    <w:rsid w:val="00E3347D"/>
    <w:rsid w:val="00E353ED"/>
    <w:rsid w:val="00E36865"/>
    <w:rsid w:val="00E40900"/>
    <w:rsid w:val="00E40B7D"/>
    <w:rsid w:val="00E42712"/>
    <w:rsid w:val="00E4374A"/>
    <w:rsid w:val="00E43AC7"/>
    <w:rsid w:val="00E4572C"/>
    <w:rsid w:val="00E45F5E"/>
    <w:rsid w:val="00E46A83"/>
    <w:rsid w:val="00E500AE"/>
    <w:rsid w:val="00E50107"/>
    <w:rsid w:val="00E507AE"/>
    <w:rsid w:val="00E523ED"/>
    <w:rsid w:val="00E52A20"/>
    <w:rsid w:val="00E5321C"/>
    <w:rsid w:val="00E54709"/>
    <w:rsid w:val="00E60380"/>
    <w:rsid w:val="00E628D7"/>
    <w:rsid w:val="00E6457E"/>
    <w:rsid w:val="00E64800"/>
    <w:rsid w:val="00E64B28"/>
    <w:rsid w:val="00E654E3"/>
    <w:rsid w:val="00E65772"/>
    <w:rsid w:val="00E657DE"/>
    <w:rsid w:val="00E6644B"/>
    <w:rsid w:val="00E667A5"/>
    <w:rsid w:val="00E668DA"/>
    <w:rsid w:val="00E669CC"/>
    <w:rsid w:val="00E67385"/>
    <w:rsid w:val="00E6746A"/>
    <w:rsid w:val="00E704DF"/>
    <w:rsid w:val="00E70A60"/>
    <w:rsid w:val="00E722DF"/>
    <w:rsid w:val="00E727CD"/>
    <w:rsid w:val="00E741BF"/>
    <w:rsid w:val="00E754DD"/>
    <w:rsid w:val="00E76332"/>
    <w:rsid w:val="00E7641B"/>
    <w:rsid w:val="00E803DD"/>
    <w:rsid w:val="00E81DED"/>
    <w:rsid w:val="00E8245F"/>
    <w:rsid w:val="00E832F0"/>
    <w:rsid w:val="00E84771"/>
    <w:rsid w:val="00E86370"/>
    <w:rsid w:val="00E8715F"/>
    <w:rsid w:val="00E90770"/>
    <w:rsid w:val="00E916FB"/>
    <w:rsid w:val="00E9220E"/>
    <w:rsid w:val="00E92CA5"/>
    <w:rsid w:val="00E93B3E"/>
    <w:rsid w:val="00E946D6"/>
    <w:rsid w:val="00E95373"/>
    <w:rsid w:val="00E96A12"/>
    <w:rsid w:val="00E976AA"/>
    <w:rsid w:val="00EA00E2"/>
    <w:rsid w:val="00EA0D50"/>
    <w:rsid w:val="00EA1471"/>
    <w:rsid w:val="00EA1551"/>
    <w:rsid w:val="00EA2D05"/>
    <w:rsid w:val="00EA3D5F"/>
    <w:rsid w:val="00EA68C9"/>
    <w:rsid w:val="00EA7F65"/>
    <w:rsid w:val="00EB05B5"/>
    <w:rsid w:val="00EB0EDB"/>
    <w:rsid w:val="00EB1BE1"/>
    <w:rsid w:val="00EB2E65"/>
    <w:rsid w:val="00EB31A2"/>
    <w:rsid w:val="00EB3738"/>
    <w:rsid w:val="00EB3AF1"/>
    <w:rsid w:val="00EB3E94"/>
    <w:rsid w:val="00EB4345"/>
    <w:rsid w:val="00EB4507"/>
    <w:rsid w:val="00EB4A32"/>
    <w:rsid w:val="00EB52DC"/>
    <w:rsid w:val="00EB5521"/>
    <w:rsid w:val="00EB5FF1"/>
    <w:rsid w:val="00EB6461"/>
    <w:rsid w:val="00EB6DA1"/>
    <w:rsid w:val="00EB6ED9"/>
    <w:rsid w:val="00EB7757"/>
    <w:rsid w:val="00EC04BC"/>
    <w:rsid w:val="00EC40B7"/>
    <w:rsid w:val="00EC578E"/>
    <w:rsid w:val="00EC5CB7"/>
    <w:rsid w:val="00EC5D83"/>
    <w:rsid w:val="00ED2BC9"/>
    <w:rsid w:val="00ED3ABE"/>
    <w:rsid w:val="00ED3F7D"/>
    <w:rsid w:val="00ED45EB"/>
    <w:rsid w:val="00ED50E9"/>
    <w:rsid w:val="00ED5A07"/>
    <w:rsid w:val="00ED5F76"/>
    <w:rsid w:val="00ED6C87"/>
    <w:rsid w:val="00ED7667"/>
    <w:rsid w:val="00ED7812"/>
    <w:rsid w:val="00ED7B4B"/>
    <w:rsid w:val="00EE6C0C"/>
    <w:rsid w:val="00EE6DA6"/>
    <w:rsid w:val="00EF0349"/>
    <w:rsid w:val="00EF03B6"/>
    <w:rsid w:val="00EF0A05"/>
    <w:rsid w:val="00EF1EF8"/>
    <w:rsid w:val="00EF2B01"/>
    <w:rsid w:val="00EF3565"/>
    <w:rsid w:val="00EF3D62"/>
    <w:rsid w:val="00EF4968"/>
    <w:rsid w:val="00EF65DE"/>
    <w:rsid w:val="00F00513"/>
    <w:rsid w:val="00F00817"/>
    <w:rsid w:val="00F00FE2"/>
    <w:rsid w:val="00F01830"/>
    <w:rsid w:val="00F02454"/>
    <w:rsid w:val="00F030C2"/>
    <w:rsid w:val="00F038ED"/>
    <w:rsid w:val="00F06E4E"/>
    <w:rsid w:val="00F11820"/>
    <w:rsid w:val="00F12606"/>
    <w:rsid w:val="00F12FB0"/>
    <w:rsid w:val="00F14007"/>
    <w:rsid w:val="00F1535B"/>
    <w:rsid w:val="00F153E9"/>
    <w:rsid w:val="00F155DD"/>
    <w:rsid w:val="00F20722"/>
    <w:rsid w:val="00F20C5B"/>
    <w:rsid w:val="00F212D4"/>
    <w:rsid w:val="00F21865"/>
    <w:rsid w:val="00F25E1A"/>
    <w:rsid w:val="00F26526"/>
    <w:rsid w:val="00F26A98"/>
    <w:rsid w:val="00F275A0"/>
    <w:rsid w:val="00F30601"/>
    <w:rsid w:val="00F31C76"/>
    <w:rsid w:val="00F32F9B"/>
    <w:rsid w:val="00F342BC"/>
    <w:rsid w:val="00F34349"/>
    <w:rsid w:val="00F34A70"/>
    <w:rsid w:val="00F35B1E"/>
    <w:rsid w:val="00F36FDC"/>
    <w:rsid w:val="00F40FD3"/>
    <w:rsid w:val="00F410F1"/>
    <w:rsid w:val="00F4118D"/>
    <w:rsid w:val="00F4162E"/>
    <w:rsid w:val="00F41A86"/>
    <w:rsid w:val="00F42923"/>
    <w:rsid w:val="00F44AEA"/>
    <w:rsid w:val="00F45B88"/>
    <w:rsid w:val="00F4606E"/>
    <w:rsid w:val="00F4652C"/>
    <w:rsid w:val="00F51D77"/>
    <w:rsid w:val="00F5218C"/>
    <w:rsid w:val="00F538F9"/>
    <w:rsid w:val="00F542FD"/>
    <w:rsid w:val="00F5492C"/>
    <w:rsid w:val="00F55F7B"/>
    <w:rsid w:val="00F57485"/>
    <w:rsid w:val="00F57FBE"/>
    <w:rsid w:val="00F60222"/>
    <w:rsid w:val="00F60B72"/>
    <w:rsid w:val="00F60CDC"/>
    <w:rsid w:val="00F61BDB"/>
    <w:rsid w:val="00F61ED4"/>
    <w:rsid w:val="00F6241B"/>
    <w:rsid w:val="00F62B71"/>
    <w:rsid w:val="00F630F7"/>
    <w:rsid w:val="00F6352F"/>
    <w:rsid w:val="00F635CC"/>
    <w:rsid w:val="00F646AD"/>
    <w:rsid w:val="00F658BC"/>
    <w:rsid w:val="00F66D8D"/>
    <w:rsid w:val="00F67FE9"/>
    <w:rsid w:val="00F7073A"/>
    <w:rsid w:val="00F70B5A"/>
    <w:rsid w:val="00F71143"/>
    <w:rsid w:val="00F717EE"/>
    <w:rsid w:val="00F71B0F"/>
    <w:rsid w:val="00F74174"/>
    <w:rsid w:val="00F77CB8"/>
    <w:rsid w:val="00F77DF8"/>
    <w:rsid w:val="00F77E9D"/>
    <w:rsid w:val="00F806A9"/>
    <w:rsid w:val="00F819AF"/>
    <w:rsid w:val="00F84675"/>
    <w:rsid w:val="00F84F5A"/>
    <w:rsid w:val="00F85654"/>
    <w:rsid w:val="00F87DB3"/>
    <w:rsid w:val="00F9168A"/>
    <w:rsid w:val="00F92B0A"/>
    <w:rsid w:val="00FA0E49"/>
    <w:rsid w:val="00FA1109"/>
    <w:rsid w:val="00FA1AE3"/>
    <w:rsid w:val="00FA2AEC"/>
    <w:rsid w:val="00FA3265"/>
    <w:rsid w:val="00FA3422"/>
    <w:rsid w:val="00FA34CA"/>
    <w:rsid w:val="00FA3E5C"/>
    <w:rsid w:val="00FA419B"/>
    <w:rsid w:val="00FA64CF"/>
    <w:rsid w:val="00FA663D"/>
    <w:rsid w:val="00FA6C3A"/>
    <w:rsid w:val="00FB31FA"/>
    <w:rsid w:val="00FB3C8B"/>
    <w:rsid w:val="00FB415A"/>
    <w:rsid w:val="00FB4746"/>
    <w:rsid w:val="00FB4CD0"/>
    <w:rsid w:val="00FB5473"/>
    <w:rsid w:val="00FB5606"/>
    <w:rsid w:val="00FB575A"/>
    <w:rsid w:val="00FB6340"/>
    <w:rsid w:val="00FB74B2"/>
    <w:rsid w:val="00FB7A94"/>
    <w:rsid w:val="00FC0C81"/>
    <w:rsid w:val="00FC2712"/>
    <w:rsid w:val="00FC2A58"/>
    <w:rsid w:val="00FC4A2F"/>
    <w:rsid w:val="00FC4A4B"/>
    <w:rsid w:val="00FC54EA"/>
    <w:rsid w:val="00FC6893"/>
    <w:rsid w:val="00FD0591"/>
    <w:rsid w:val="00FD152B"/>
    <w:rsid w:val="00FD1704"/>
    <w:rsid w:val="00FD67C5"/>
    <w:rsid w:val="00FD6AC7"/>
    <w:rsid w:val="00FD7061"/>
    <w:rsid w:val="00FE1917"/>
    <w:rsid w:val="00FE1E1B"/>
    <w:rsid w:val="00FE43B7"/>
    <w:rsid w:val="00FE447B"/>
    <w:rsid w:val="00FE4B14"/>
    <w:rsid w:val="00FE5003"/>
    <w:rsid w:val="00FE5186"/>
    <w:rsid w:val="00FE74A1"/>
    <w:rsid w:val="00FF0A81"/>
    <w:rsid w:val="00FF12DE"/>
    <w:rsid w:val="00FF473C"/>
    <w:rsid w:val="00FF4872"/>
    <w:rsid w:val="00FF6BCF"/>
    <w:rsid w:val="00FF6FC8"/>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6BCCC"/>
  <w15:docId w15:val="{AADDFFD3-E394-47CF-83D8-BE58D12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43"/>
    <w:pPr>
      <w:spacing w:before="120" w:after="120" w:line="276" w:lineRule="auto"/>
    </w:pPr>
    <w:rPr>
      <w:rFonts w:ascii="Arial" w:eastAsiaTheme="minorHAnsi" w:hAnsi="Arial" w:cs="Arial"/>
      <w:sz w:val="18"/>
      <w:szCs w:val="22"/>
      <w:lang w:val="en-AU"/>
    </w:rPr>
  </w:style>
  <w:style w:type="paragraph" w:styleId="Heading1">
    <w:name w:val="heading 1"/>
    <w:basedOn w:val="Normal"/>
    <w:next w:val="Normal"/>
    <w:link w:val="Heading1Char"/>
    <w:uiPriority w:val="9"/>
    <w:qFormat/>
    <w:rsid w:val="005F3F9F"/>
    <w:pPr>
      <w:keepNext/>
      <w:keepLines/>
      <w:tabs>
        <w:tab w:val="left" w:pos="851"/>
      </w:tabs>
      <w:spacing w:before="240" w:after="240" w:line="240" w:lineRule="auto"/>
      <w:outlineLvl w:val="0"/>
    </w:pPr>
    <w:rPr>
      <w:rFonts w:asciiTheme="majorHAnsi" w:eastAsiaTheme="majorEastAsia" w:hAnsiTheme="majorHAnsi" w:cstheme="majorHAnsi"/>
      <w:b/>
      <w:bCs/>
      <w:color w:val="007CC2" w:themeColor="accent1"/>
      <w:spacing w:val="2"/>
      <w:sz w:val="24"/>
      <w:szCs w:val="32"/>
    </w:rPr>
  </w:style>
  <w:style w:type="paragraph" w:styleId="Heading2">
    <w:name w:val="heading 2"/>
    <w:basedOn w:val="Heading1"/>
    <w:next w:val="Normal"/>
    <w:link w:val="Heading2Char"/>
    <w:qFormat/>
    <w:rsid w:val="00D218C8"/>
    <w:pPr>
      <w:numPr>
        <w:ilvl w:val="1"/>
        <w:numId w:val="1"/>
      </w:numPr>
      <w:tabs>
        <w:tab w:val="clear" w:pos="851"/>
        <w:tab w:val="left" w:pos="284"/>
      </w:tabs>
      <w:outlineLvl w:val="1"/>
    </w:pPr>
    <w:rPr>
      <w:bCs w:val="0"/>
      <w:sz w:val="22"/>
      <w:szCs w:val="22"/>
    </w:rPr>
  </w:style>
  <w:style w:type="paragraph" w:styleId="Heading3">
    <w:name w:val="heading 3"/>
    <w:basedOn w:val="Heading1"/>
    <w:next w:val="Normal"/>
    <w:link w:val="Heading3Char"/>
    <w:unhideWhenUsed/>
    <w:qFormat/>
    <w:rsid w:val="00CB003F"/>
    <w:pPr>
      <w:numPr>
        <w:ilvl w:val="2"/>
        <w:numId w:val="1"/>
      </w:numPr>
      <w:tabs>
        <w:tab w:val="clear" w:pos="851"/>
        <w:tab w:val="left" w:pos="567"/>
      </w:tabs>
      <w:outlineLvl w:val="2"/>
    </w:pPr>
    <w:rPr>
      <w:sz w:val="22"/>
      <w:szCs w:val="22"/>
    </w:rPr>
  </w:style>
  <w:style w:type="paragraph" w:styleId="Heading4">
    <w:name w:val="heading 4"/>
    <w:basedOn w:val="Heading1"/>
    <w:next w:val="Normal"/>
    <w:link w:val="Heading4Char"/>
    <w:unhideWhenUsed/>
    <w:qFormat/>
    <w:rsid w:val="00CB003F"/>
    <w:pPr>
      <w:numPr>
        <w:ilvl w:val="3"/>
        <w:numId w:val="1"/>
      </w:numPr>
      <w:tabs>
        <w:tab w:val="clear" w:pos="851"/>
        <w:tab w:val="left" w:pos="567"/>
      </w:tabs>
      <w:outlineLvl w:val="3"/>
    </w:pPr>
    <w:rPr>
      <w:bCs w:val="0"/>
      <w:sz w:val="22"/>
      <w:szCs w:val="22"/>
    </w:rPr>
  </w:style>
  <w:style w:type="paragraph" w:styleId="Heading5">
    <w:name w:val="heading 5"/>
    <w:basedOn w:val="Heading1"/>
    <w:next w:val="Normal"/>
    <w:link w:val="Heading5Char"/>
    <w:qFormat/>
    <w:rsid w:val="00EF2B01"/>
    <w:pPr>
      <w:numPr>
        <w:ilvl w:val="4"/>
        <w:numId w:val="1"/>
      </w:numPr>
      <w:tabs>
        <w:tab w:val="left" w:pos="1134"/>
      </w:tabs>
      <w:outlineLvl w:val="4"/>
    </w:pPr>
    <w:rPr>
      <w:rFonts w:eastAsia="Times New Roman"/>
      <w:noProof/>
      <w:szCs w:val="22"/>
      <w:lang w:val="en-US" w:eastAsia="en-AU"/>
    </w:rPr>
  </w:style>
  <w:style w:type="paragraph" w:styleId="Heading6">
    <w:name w:val="heading 6"/>
    <w:basedOn w:val="Normal"/>
    <w:next w:val="Normal"/>
    <w:link w:val="Heading6Char"/>
    <w:qFormat/>
    <w:rsid w:val="003C7F41"/>
    <w:pPr>
      <w:keepNext/>
      <w:numPr>
        <w:ilvl w:val="5"/>
        <w:numId w:val="1"/>
      </w:numPr>
      <w:outlineLvl w:val="5"/>
    </w:pPr>
    <w:rPr>
      <w:rFonts w:eastAsia="Times New Roman" w:cs="Times New Roman"/>
      <w:sz w:val="26"/>
      <w:szCs w:val="20"/>
      <w:lang w:val="en-US" w:eastAsia="en-AU"/>
    </w:rPr>
  </w:style>
  <w:style w:type="paragraph" w:styleId="Heading7">
    <w:name w:val="heading 7"/>
    <w:basedOn w:val="Normal"/>
    <w:next w:val="Normal"/>
    <w:link w:val="Heading7Char"/>
    <w:qFormat/>
    <w:rsid w:val="002E2A4A"/>
    <w:pPr>
      <w:numPr>
        <w:ilvl w:val="6"/>
        <w:numId w:val="1"/>
      </w:numPr>
      <w:spacing w:before="240"/>
      <w:outlineLvl w:val="6"/>
    </w:pPr>
    <w:rPr>
      <w:rFonts w:ascii="Arial Narrow" w:eastAsia="Times New Roman" w:hAnsi="Arial Narrow" w:cs="Times New Roman"/>
      <w:szCs w:val="24"/>
      <w:lang w:val="en-US"/>
    </w:rPr>
  </w:style>
  <w:style w:type="paragraph" w:styleId="Heading8">
    <w:name w:val="heading 8"/>
    <w:basedOn w:val="Normal"/>
    <w:next w:val="Normal"/>
    <w:link w:val="Heading8Char"/>
    <w:qFormat/>
    <w:rsid w:val="002E2A4A"/>
    <w:pPr>
      <w:numPr>
        <w:ilvl w:val="7"/>
        <w:numId w:val="1"/>
      </w:numPr>
      <w:spacing w:before="240"/>
      <w:outlineLvl w:val="7"/>
    </w:pPr>
    <w:rPr>
      <w:rFonts w:ascii="Arial Narrow" w:eastAsia="Times New Roman" w:hAnsi="Arial Narrow" w:cs="Times New Roman"/>
      <w:i/>
      <w:iCs/>
      <w:szCs w:val="24"/>
      <w:lang w:val="en-US"/>
    </w:rPr>
  </w:style>
  <w:style w:type="paragraph" w:styleId="Heading9">
    <w:name w:val="heading 9"/>
    <w:basedOn w:val="Normal"/>
    <w:next w:val="Normal"/>
    <w:link w:val="Heading9Char"/>
    <w:qFormat/>
    <w:rsid w:val="002E2A4A"/>
    <w:pPr>
      <w:numPr>
        <w:ilvl w:val="8"/>
        <w:numId w:val="1"/>
      </w:numPr>
      <w:spacing w:before="24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6466"/>
    <w:pPr>
      <w:tabs>
        <w:tab w:val="center" w:pos="4320"/>
        <w:tab w:val="right" w:pos="8640"/>
      </w:tabs>
    </w:pPr>
    <w:rPr>
      <w:rFonts w:ascii="Gill Sans MT" w:hAnsi="Gill Sans MT"/>
      <w:caps/>
      <w:color w:val="007CC2" w:themeColor="accent1"/>
      <w:spacing w:val="24"/>
      <w:sz w:val="40"/>
    </w:rPr>
  </w:style>
  <w:style w:type="character" w:customStyle="1" w:styleId="HeaderChar">
    <w:name w:val="Header Char"/>
    <w:basedOn w:val="DefaultParagraphFont"/>
    <w:link w:val="Header"/>
    <w:uiPriority w:val="99"/>
    <w:semiHidden/>
    <w:rsid w:val="00006466"/>
    <w:rPr>
      <w:rFonts w:ascii="Gill Sans MT" w:eastAsiaTheme="minorHAnsi" w:hAnsi="Gill Sans MT" w:cs="Arial"/>
      <w:caps/>
      <w:color w:val="007CC2" w:themeColor="accent1"/>
      <w:spacing w:val="24"/>
      <w:sz w:val="40"/>
      <w:szCs w:val="22"/>
      <w:lang w:val="en-AU"/>
    </w:rPr>
  </w:style>
  <w:style w:type="paragraph" w:styleId="Footer">
    <w:name w:val="footer"/>
    <w:link w:val="FooterChar"/>
    <w:uiPriority w:val="99"/>
    <w:semiHidden/>
    <w:rsid w:val="007F4C55"/>
    <w:pPr>
      <w:framePr w:hSpace="181" w:wrap="around" w:vAnchor="page" w:hAnchor="page" w:x="852" w:y="15877"/>
      <w:tabs>
        <w:tab w:val="center" w:pos="5103"/>
        <w:tab w:val="right" w:pos="10161"/>
      </w:tabs>
      <w:spacing w:before="10" w:after="10"/>
      <w:suppressOverlap/>
    </w:pPr>
    <w:rPr>
      <w:rFonts w:ascii="Arial" w:eastAsiaTheme="minorHAnsi" w:hAnsi="Arial" w:cs="Arial"/>
      <w:noProof/>
      <w:sz w:val="16"/>
      <w:szCs w:val="16"/>
      <w:lang w:val="en-AU" w:eastAsia="en-AU"/>
    </w:rPr>
  </w:style>
  <w:style w:type="character" w:customStyle="1" w:styleId="FooterChar">
    <w:name w:val="Footer Char"/>
    <w:basedOn w:val="DefaultParagraphFont"/>
    <w:link w:val="Footer"/>
    <w:uiPriority w:val="99"/>
    <w:semiHidden/>
    <w:rsid w:val="007F4C55"/>
    <w:rPr>
      <w:rFonts w:ascii="Arial" w:eastAsiaTheme="minorHAnsi" w:hAnsi="Arial" w:cs="Arial"/>
      <w:noProof/>
      <w:sz w:val="16"/>
      <w:szCs w:val="16"/>
      <w:lang w:val="en-AU" w:eastAsia="en-AU"/>
    </w:rPr>
  </w:style>
  <w:style w:type="paragraph" w:styleId="BalloonText">
    <w:name w:val="Balloon Text"/>
    <w:basedOn w:val="Normal"/>
    <w:link w:val="BalloonTextChar"/>
    <w:uiPriority w:val="99"/>
    <w:semiHidden/>
    <w:unhideWhenUsed/>
    <w:rsid w:val="00E727C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727CD"/>
    <w:rPr>
      <w:rFonts w:ascii="Lucida Grande" w:hAnsi="Lucida Grande" w:cs="Lucida Grande"/>
      <w:sz w:val="18"/>
      <w:szCs w:val="18"/>
    </w:rPr>
  </w:style>
  <w:style w:type="paragraph" w:styleId="Title">
    <w:name w:val="Title"/>
    <w:basedOn w:val="Normal"/>
    <w:next w:val="Normal"/>
    <w:link w:val="TitleChar"/>
    <w:uiPriority w:val="10"/>
    <w:qFormat/>
    <w:rsid w:val="001A3F6E"/>
    <w:pPr>
      <w:spacing w:before="0" w:after="240" w:line="240" w:lineRule="auto"/>
    </w:pPr>
    <w:rPr>
      <w:rFonts w:ascii="Gill Sans MT" w:eastAsiaTheme="majorEastAsia" w:hAnsi="Gill Sans MT" w:cstheme="majorBidi"/>
      <w:caps/>
      <w:color w:val="005C91" w:themeColor="accent1" w:themeShade="BF"/>
      <w:spacing w:val="24"/>
      <w:kern w:val="28"/>
      <w:sz w:val="40"/>
      <w:szCs w:val="52"/>
    </w:rPr>
  </w:style>
  <w:style w:type="character" w:customStyle="1" w:styleId="TitleChar">
    <w:name w:val="Title Char"/>
    <w:basedOn w:val="DefaultParagraphFont"/>
    <w:link w:val="Title"/>
    <w:uiPriority w:val="10"/>
    <w:rsid w:val="001A3F6E"/>
    <w:rPr>
      <w:rFonts w:ascii="Gill Sans MT" w:eastAsiaTheme="majorEastAsia" w:hAnsi="Gill Sans MT" w:cstheme="majorBidi"/>
      <w:caps/>
      <w:color w:val="005C91" w:themeColor="accent1" w:themeShade="BF"/>
      <w:spacing w:val="24"/>
      <w:kern w:val="28"/>
      <w:sz w:val="40"/>
      <w:szCs w:val="52"/>
      <w:lang w:val="en-AU"/>
    </w:rPr>
  </w:style>
  <w:style w:type="paragraph" w:styleId="NoSpacing">
    <w:name w:val="No Spacing"/>
    <w:uiPriority w:val="1"/>
    <w:semiHidden/>
    <w:rsid w:val="00341C84"/>
  </w:style>
  <w:style w:type="character" w:styleId="SubtleEmphasis">
    <w:name w:val="Subtle Emphasis"/>
    <w:basedOn w:val="DefaultParagraphFont"/>
    <w:uiPriority w:val="19"/>
    <w:semiHidden/>
    <w:rsid w:val="00341C84"/>
    <w:rPr>
      <w:i/>
      <w:iCs/>
      <w:color w:val="A0A0A0" w:themeColor="text1" w:themeTint="7F"/>
    </w:rPr>
  </w:style>
  <w:style w:type="character" w:styleId="Emphasis">
    <w:name w:val="Emphasis"/>
    <w:basedOn w:val="DefaultParagraphFont"/>
    <w:uiPriority w:val="20"/>
    <w:unhideWhenUsed/>
    <w:rsid w:val="00341C84"/>
    <w:rPr>
      <w:i/>
      <w:iCs/>
    </w:rPr>
  </w:style>
  <w:style w:type="character" w:customStyle="1" w:styleId="Heading2Char">
    <w:name w:val="Heading 2 Char"/>
    <w:basedOn w:val="DefaultParagraphFont"/>
    <w:link w:val="Heading2"/>
    <w:rsid w:val="00D218C8"/>
    <w:rPr>
      <w:rFonts w:asciiTheme="majorHAnsi" w:eastAsiaTheme="majorEastAsia" w:hAnsiTheme="majorHAnsi" w:cstheme="majorHAnsi"/>
      <w:b/>
      <w:color w:val="007CC2" w:themeColor="accent1"/>
      <w:spacing w:val="2"/>
      <w:sz w:val="22"/>
      <w:szCs w:val="22"/>
      <w:lang w:val="en-AU"/>
    </w:rPr>
  </w:style>
  <w:style w:type="character" w:customStyle="1" w:styleId="Heading1Char">
    <w:name w:val="Heading 1 Char"/>
    <w:basedOn w:val="DefaultParagraphFont"/>
    <w:link w:val="Heading1"/>
    <w:uiPriority w:val="9"/>
    <w:rsid w:val="005F3F9F"/>
    <w:rPr>
      <w:rFonts w:asciiTheme="majorHAnsi" w:eastAsiaTheme="majorEastAsia" w:hAnsiTheme="majorHAnsi" w:cstheme="majorHAnsi"/>
      <w:b/>
      <w:bCs/>
      <w:color w:val="007CC2" w:themeColor="accent1"/>
      <w:spacing w:val="2"/>
      <w:szCs w:val="32"/>
      <w:lang w:val="en-AU"/>
    </w:rPr>
  </w:style>
  <w:style w:type="character" w:customStyle="1" w:styleId="Heading3Char">
    <w:name w:val="Heading 3 Char"/>
    <w:basedOn w:val="DefaultParagraphFont"/>
    <w:link w:val="Heading3"/>
    <w:rsid w:val="00CB003F"/>
    <w:rPr>
      <w:rFonts w:asciiTheme="majorHAnsi" w:eastAsiaTheme="majorEastAsia" w:hAnsiTheme="majorHAnsi" w:cstheme="majorHAnsi"/>
      <w:b/>
      <w:bCs/>
      <w:color w:val="007CC2" w:themeColor="accent1"/>
      <w:spacing w:val="2"/>
      <w:sz w:val="22"/>
      <w:szCs w:val="22"/>
      <w:lang w:val="en-AU"/>
    </w:rPr>
  </w:style>
  <w:style w:type="character" w:customStyle="1" w:styleId="Heading4Char">
    <w:name w:val="Heading 4 Char"/>
    <w:basedOn w:val="DefaultParagraphFont"/>
    <w:link w:val="Heading4"/>
    <w:rsid w:val="00CB003F"/>
    <w:rPr>
      <w:rFonts w:asciiTheme="majorHAnsi" w:eastAsiaTheme="majorEastAsia" w:hAnsiTheme="majorHAnsi" w:cstheme="majorHAnsi"/>
      <w:b/>
      <w:color w:val="007CC2" w:themeColor="accent1"/>
      <w:spacing w:val="2"/>
      <w:sz w:val="22"/>
      <w:szCs w:val="22"/>
      <w:lang w:val="en-AU"/>
    </w:rPr>
  </w:style>
  <w:style w:type="character" w:styleId="PageNumber">
    <w:name w:val="page number"/>
    <w:basedOn w:val="DefaultParagraphFont"/>
    <w:uiPriority w:val="99"/>
    <w:semiHidden/>
    <w:unhideWhenUsed/>
    <w:rsid w:val="00E6746A"/>
  </w:style>
  <w:style w:type="table" w:styleId="TableGrid">
    <w:name w:val="Table Grid"/>
    <w:basedOn w:val="TableNormal"/>
    <w:rsid w:val="00BF5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
    <w:name w:val="Image caption"/>
    <w:basedOn w:val="DefaultParagraphFont"/>
    <w:uiPriority w:val="1"/>
    <w:unhideWhenUsed/>
    <w:qFormat/>
    <w:rsid w:val="001176DA"/>
    <w:rPr>
      <w:color w:val="007DC3"/>
      <w:sz w:val="18"/>
      <w:szCs w:val="18"/>
    </w:rPr>
  </w:style>
  <w:style w:type="character" w:styleId="Hyperlink">
    <w:name w:val="Hyperlink"/>
    <w:basedOn w:val="DefaultParagraphFont"/>
    <w:unhideWhenUsed/>
    <w:rsid w:val="00266A07"/>
    <w:rPr>
      <w:color w:val="424242" w:themeColor="hyperlink"/>
      <w:u w:val="none"/>
      <w:bdr w:val="none" w:sz="0" w:space="0" w:color="auto"/>
    </w:rPr>
  </w:style>
  <w:style w:type="character" w:styleId="PlaceholderText">
    <w:name w:val="Placeholder Text"/>
    <w:basedOn w:val="DefaultParagraphFont"/>
    <w:uiPriority w:val="99"/>
    <w:semiHidden/>
    <w:rsid w:val="00A53AFA"/>
    <w:rPr>
      <w:color w:val="808080"/>
    </w:rPr>
  </w:style>
  <w:style w:type="table" w:customStyle="1" w:styleId="TableGrid1">
    <w:name w:val="Table Grid1"/>
    <w:basedOn w:val="TableNormal"/>
    <w:next w:val="TableGrid"/>
    <w:uiPriority w:val="59"/>
    <w:unhideWhenUsed/>
    <w:rsid w:val="00DB055E"/>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4D5"/>
    <w:pPr>
      <w:ind w:left="720"/>
    </w:pPr>
  </w:style>
  <w:style w:type="character" w:customStyle="1" w:styleId="Heading5Char">
    <w:name w:val="Heading 5 Char"/>
    <w:basedOn w:val="DefaultParagraphFont"/>
    <w:link w:val="Heading5"/>
    <w:rsid w:val="00076D1E"/>
    <w:rPr>
      <w:rFonts w:asciiTheme="majorHAnsi" w:eastAsia="Times New Roman" w:hAnsiTheme="majorHAnsi" w:cstheme="majorHAnsi"/>
      <w:b/>
      <w:bCs/>
      <w:noProof/>
      <w:color w:val="007CC2" w:themeColor="accent1"/>
      <w:spacing w:val="2"/>
      <w:szCs w:val="22"/>
      <w:lang w:eastAsia="en-AU"/>
    </w:rPr>
  </w:style>
  <w:style w:type="character" w:customStyle="1" w:styleId="Heading6Char">
    <w:name w:val="Heading 6 Char"/>
    <w:basedOn w:val="DefaultParagraphFont"/>
    <w:link w:val="Heading6"/>
    <w:rsid w:val="003C7F41"/>
    <w:rPr>
      <w:rFonts w:ascii="Arial" w:eastAsia="Times New Roman" w:hAnsi="Arial" w:cs="Times New Roman"/>
      <w:sz w:val="26"/>
      <w:szCs w:val="20"/>
      <w:lang w:eastAsia="en-AU"/>
    </w:rPr>
  </w:style>
  <w:style w:type="character" w:customStyle="1" w:styleId="Heading7Char">
    <w:name w:val="Heading 7 Char"/>
    <w:basedOn w:val="DefaultParagraphFont"/>
    <w:link w:val="Heading7"/>
    <w:rsid w:val="00076D1E"/>
    <w:rPr>
      <w:rFonts w:ascii="Arial Narrow" w:eastAsia="Times New Roman" w:hAnsi="Arial Narrow" w:cs="Times New Roman"/>
      <w:sz w:val="18"/>
    </w:rPr>
  </w:style>
  <w:style w:type="character" w:customStyle="1" w:styleId="Heading8Char">
    <w:name w:val="Heading 8 Char"/>
    <w:basedOn w:val="DefaultParagraphFont"/>
    <w:link w:val="Heading8"/>
    <w:rsid w:val="00076D1E"/>
    <w:rPr>
      <w:rFonts w:ascii="Arial Narrow" w:eastAsia="Times New Roman" w:hAnsi="Arial Narrow" w:cs="Times New Roman"/>
      <w:i/>
      <w:iCs/>
      <w:sz w:val="18"/>
    </w:rPr>
  </w:style>
  <w:style w:type="character" w:customStyle="1" w:styleId="Heading9Char">
    <w:name w:val="Heading 9 Char"/>
    <w:basedOn w:val="DefaultParagraphFont"/>
    <w:link w:val="Heading9"/>
    <w:rsid w:val="00076D1E"/>
    <w:rPr>
      <w:rFonts w:ascii="Arial" w:eastAsia="Times New Roman" w:hAnsi="Arial" w:cs="Arial"/>
      <w:sz w:val="18"/>
      <w:szCs w:val="22"/>
    </w:rPr>
  </w:style>
  <w:style w:type="character" w:styleId="IntenseEmphasis">
    <w:name w:val="Intense Emphasis"/>
    <w:basedOn w:val="DefaultParagraphFont"/>
    <w:uiPriority w:val="21"/>
    <w:unhideWhenUsed/>
    <w:qFormat/>
    <w:rsid w:val="00076D1E"/>
    <w:rPr>
      <w:b/>
      <w:bCs/>
      <w:i/>
      <w:iCs/>
      <w:color w:val="auto"/>
    </w:rPr>
  </w:style>
  <w:style w:type="paragraph" w:customStyle="1" w:styleId="L1UnnumberedHeading">
    <w:name w:val="L1 Unnumbered Heading"/>
    <w:basedOn w:val="Normal"/>
    <w:next w:val="Normal"/>
    <w:unhideWhenUsed/>
    <w:qFormat/>
    <w:rsid w:val="000A5D1B"/>
    <w:pPr>
      <w:spacing w:before="480"/>
      <w:outlineLvl w:val="0"/>
    </w:pPr>
    <w:rPr>
      <w:rFonts w:asciiTheme="majorHAnsi" w:hAnsiTheme="majorHAnsi"/>
      <w:b/>
      <w:sz w:val="32"/>
      <w:szCs w:val="32"/>
    </w:rPr>
  </w:style>
  <w:style w:type="paragraph" w:styleId="Subtitle">
    <w:name w:val="Subtitle"/>
    <w:basedOn w:val="Title"/>
    <w:next w:val="Normal"/>
    <w:link w:val="SubtitleChar"/>
    <w:uiPriority w:val="11"/>
    <w:unhideWhenUsed/>
    <w:rsid w:val="00E14E7E"/>
    <w:pPr>
      <w:numPr>
        <w:ilvl w:val="1"/>
      </w:numPr>
      <w:spacing w:line="276" w:lineRule="auto"/>
    </w:pPr>
    <w:rPr>
      <w:iCs/>
      <w:color w:val="000000"/>
      <w:spacing w:val="15"/>
      <w:sz w:val="48"/>
      <w:szCs w:val="24"/>
      <w14:textFill>
        <w14:solidFill>
          <w14:srgbClr w14:val="000000">
            <w14:lumMod w14:val="75000"/>
          </w14:srgbClr>
        </w14:solidFill>
      </w14:textFill>
    </w:rPr>
  </w:style>
  <w:style w:type="character" w:customStyle="1" w:styleId="SubtitleChar">
    <w:name w:val="Subtitle Char"/>
    <w:basedOn w:val="DefaultParagraphFont"/>
    <w:link w:val="Subtitle"/>
    <w:uiPriority w:val="11"/>
    <w:rsid w:val="00BD38D0"/>
    <w:rPr>
      <w:rFonts w:ascii="Gill Sans MT" w:eastAsiaTheme="majorEastAsia" w:hAnsi="Gill Sans MT" w:cstheme="majorBidi"/>
      <w:iCs/>
      <w:caps/>
      <w:color w:val="000000"/>
      <w:spacing w:val="15"/>
      <w:kern w:val="28"/>
      <w:sz w:val="48"/>
      <w:lang w:val="en-AU"/>
      <w14:textFill>
        <w14:solidFill>
          <w14:srgbClr w14:val="000000">
            <w14:lumMod w14:val="75000"/>
          </w14:srgbClr>
        </w14:solidFill>
      </w14:textFill>
    </w:rPr>
  </w:style>
  <w:style w:type="paragraph" w:customStyle="1" w:styleId="FrontCoverTitle">
    <w:name w:val="Front Cover Title"/>
    <w:basedOn w:val="Title"/>
    <w:qFormat/>
    <w:rsid w:val="004E2507"/>
    <w:pPr>
      <w:framePr w:hSpace="181" w:wrap="around" w:vAnchor="page" w:hAnchor="text" w:yAlign="center"/>
      <w:spacing w:before="240"/>
      <w:suppressOverlap/>
      <w:jc w:val="center"/>
    </w:pPr>
    <w:rPr>
      <w:spacing w:val="36"/>
      <w:sz w:val="52"/>
    </w:rPr>
  </w:style>
  <w:style w:type="paragraph" w:styleId="TOCHeading">
    <w:name w:val="TOC Heading"/>
    <w:basedOn w:val="L1UnnumberedHeading"/>
    <w:next w:val="Normal"/>
    <w:uiPriority w:val="39"/>
    <w:unhideWhenUsed/>
    <w:qFormat/>
    <w:rsid w:val="00295F10"/>
    <w:pPr>
      <w:spacing w:after="240"/>
    </w:pPr>
    <w:rPr>
      <w:rFonts w:cstheme="majorBidi"/>
      <w:szCs w:val="28"/>
      <w:lang w:val="en-US" w:eastAsia="ja-JP"/>
    </w:rPr>
  </w:style>
  <w:style w:type="paragraph" w:styleId="TOC1">
    <w:name w:val="toc 1"/>
    <w:basedOn w:val="Normal"/>
    <w:next w:val="Normal"/>
    <w:uiPriority w:val="39"/>
    <w:unhideWhenUsed/>
    <w:rsid w:val="004D53A5"/>
    <w:pPr>
      <w:keepNext/>
      <w:keepLines/>
      <w:pBdr>
        <w:bottom w:val="single" w:sz="4" w:space="1" w:color="7F7F7F" w:themeColor="text2" w:themeTint="80"/>
        <w:between w:val="single" w:sz="4" w:space="1" w:color="7F7F7F" w:themeColor="text2" w:themeTint="80"/>
      </w:pBdr>
      <w:tabs>
        <w:tab w:val="left" w:pos="440"/>
        <w:tab w:val="right" w:pos="10151"/>
      </w:tabs>
      <w:spacing w:before="240" w:after="0" w:line="240" w:lineRule="auto"/>
    </w:pPr>
    <w:rPr>
      <w:b/>
      <w:noProof/>
    </w:rPr>
  </w:style>
  <w:style w:type="paragraph" w:styleId="TOC2">
    <w:name w:val="toc 2"/>
    <w:basedOn w:val="Normal"/>
    <w:next w:val="Normal"/>
    <w:autoRedefine/>
    <w:uiPriority w:val="39"/>
    <w:unhideWhenUsed/>
    <w:rsid w:val="00FF794D"/>
    <w:pPr>
      <w:keepNext/>
      <w:keepLines/>
      <w:pBdr>
        <w:top w:val="single" w:sz="24" w:space="1" w:color="FFFFFF" w:themeColor="background1"/>
        <w:bottom w:val="single" w:sz="24" w:space="1" w:color="FFFFFF" w:themeColor="background1"/>
        <w:between w:val="single" w:sz="24" w:space="1" w:color="FFFFFF" w:themeColor="background1"/>
      </w:pBdr>
      <w:tabs>
        <w:tab w:val="left" w:pos="880"/>
        <w:tab w:val="right" w:leader="dot" w:pos="10151"/>
      </w:tabs>
      <w:spacing w:before="60" w:after="0" w:line="240" w:lineRule="auto"/>
      <w:ind w:left="425"/>
    </w:pPr>
    <w:rPr>
      <w:noProof/>
    </w:rPr>
  </w:style>
  <w:style w:type="paragraph" w:customStyle="1" w:styleId="OutlineBullet">
    <w:name w:val="Outline Bullet"/>
    <w:basedOn w:val="ListParagraph"/>
    <w:qFormat/>
    <w:rsid w:val="00174EB7"/>
    <w:pPr>
      <w:numPr>
        <w:numId w:val="2"/>
      </w:numPr>
      <w:spacing w:before="0" w:after="0"/>
    </w:pPr>
    <w:rPr>
      <w:rFonts w:asciiTheme="minorHAnsi" w:hAnsiTheme="minorHAnsi" w:cstheme="minorBidi"/>
      <w:kern w:val="16"/>
      <w:szCs w:val="20"/>
    </w:rPr>
  </w:style>
  <w:style w:type="paragraph" w:customStyle="1" w:styleId="InfoStandout">
    <w:name w:val="Info Standout"/>
    <w:basedOn w:val="Normal"/>
    <w:unhideWhenUsed/>
    <w:qFormat/>
    <w:rsid w:val="001F1C4C"/>
    <w:pPr>
      <w:pBdr>
        <w:left w:val="single" w:sz="48" w:space="13" w:color="007CC2" w:themeColor="accent1"/>
        <w:right w:val="single" w:sz="48" w:space="4" w:color="F2F2F2" w:themeColor="background1" w:themeShade="F2"/>
      </w:pBdr>
      <w:shd w:val="clear" w:color="auto" w:fill="F2F2F2" w:themeFill="background1" w:themeFillShade="F2"/>
      <w:spacing w:line="240" w:lineRule="auto"/>
      <w:ind w:left="426"/>
    </w:pPr>
  </w:style>
  <w:style w:type="character" w:styleId="Strong">
    <w:name w:val="Strong"/>
    <w:basedOn w:val="DefaultParagraphFont"/>
    <w:qFormat/>
    <w:rsid w:val="00A55E59"/>
    <w:rPr>
      <w:b/>
      <w:bCs/>
    </w:rPr>
  </w:style>
  <w:style w:type="table" w:styleId="MediumShading1">
    <w:name w:val="Medium Shading 1"/>
    <w:basedOn w:val="TableNormal"/>
    <w:uiPriority w:val="63"/>
    <w:rsid w:val="00845882"/>
    <w:tblPr>
      <w:tblStyleRowBandSize w:val="1"/>
      <w:tblStyleColBandSize w:val="1"/>
      <w:tblBorders>
        <w:top w:val="single" w:sz="8" w:space="0" w:color="717171" w:themeColor="text1" w:themeTint="BF"/>
        <w:left w:val="single" w:sz="8" w:space="0" w:color="717171" w:themeColor="text1" w:themeTint="BF"/>
        <w:bottom w:val="single" w:sz="8" w:space="0" w:color="717171" w:themeColor="text1" w:themeTint="BF"/>
        <w:right w:val="single" w:sz="8" w:space="0" w:color="717171" w:themeColor="text1" w:themeTint="BF"/>
        <w:insideH w:val="single" w:sz="8" w:space="0" w:color="717171" w:themeColor="text1" w:themeTint="BF"/>
      </w:tblBorders>
    </w:tblPr>
    <w:tblStylePr w:type="firstRow">
      <w:pPr>
        <w:spacing w:before="0" w:after="0" w:line="240" w:lineRule="auto"/>
      </w:pPr>
      <w:rPr>
        <w:b/>
        <w:bCs/>
        <w:color w:val="FFFFFF" w:themeColor="background1"/>
      </w:rPr>
      <w:tblPr/>
      <w:tcPr>
        <w:tcBorders>
          <w:top w:val="single" w:sz="8" w:space="0" w:color="717171" w:themeColor="text1" w:themeTint="BF"/>
          <w:left w:val="single" w:sz="8" w:space="0" w:color="717171" w:themeColor="text1" w:themeTint="BF"/>
          <w:bottom w:val="single" w:sz="8" w:space="0" w:color="717171" w:themeColor="text1" w:themeTint="BF"/>
          <w:right w:val="single" w:sz="8" w:space="0" w:color="717171" w:themeColor="text1" w:themeTint="BF"/>
          <w:insideH w:val="nil"/>
          <w:insideV w:val="nil"/>
        </w:tcBorders>
        <w:shd w:val="clear" w:color="auto" w:fill="424242" w:themeFill="text1"/>
      </w:tcPr>
    </w:tblStylePr>
    <w:tblStylePr w:type="lastRow">
      <w:pPr>
        <w:spacing w:before="0" w:after="0" w:line="240" w:lineRule="auto"/>
      </w:pPr>
      <w:rPr>
        <w:b/>
        <w:bCs/>
      </w:rPr>
      <w:tblPr/>
      <w:tcPr>
        <w:tcBorders>
          <w:top w:val="double" w:sz="6" w:space="0" w:color="717171" w:themeColor="text1" w:themeTint="BF"/>
          <w:left w:val="single" w:sz="8" w:space="0" w:color="717171" w:themeColor="text1" w:themeTint="BF"/>
          <w:bottom w:val="single" w:sz="8" w:space="0" w:color="717171" w:themeColor="text1" w:themeTint="BF"/>
          <w:right w:val="single" w:sz="8" w:space="0" w:color="717171"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paragraph" w:customStyle="1" w:styleId="LNUnnumberedHeading">
    <w:name w:val="LN Unnumbered Heading"/>
    <w:basedOn w:val="Normal"/>
    <w:next w:val="Normal"/>
    <w:unhideWhenUsed/>
    <w:qFormat/>
    <w:rsid w:val="006A0E21"/>
    <w:pPr>
      <w:spacing w:before="480"/>
    </w:pPr>
    <w:rPr>
      <w:b/>
      <w:sz w:val="22"/>
    </w:rPr>
  </w:style>
  <w:style w:type="paragraph" w:customStyle="1" w:styleId="OutlineBullet-RelaxedSpacing">
    <w:name w:val="Outline Bullet - Relaxed Spacing"/>
    <w:basedOn w:val="OutlineBullet"/>
    <w:next w:val="OutlineBullet"/>
    <w:qFormat/>
    <w:rsid w:val="003633FD"/>
    <w:pPr>
      <w:spacing w:before="120" w:after="120"/>
    </w:pPr>
  </w:style>
  <w:style w:type="table" w:styleId="MediumList1-Accent1">
    <w:name w:val="Medium List 1 Accent 1"/>
    <w:basedOn w:val="TableNormal"/>
    <w:uiPriority w:val="65"/>
    <w:rsid w:val="00963329"/>
    <w:rPr>
      <w:color w:val="424242" w:themeColor="text1"/>
    </w:rPr>
    <w:tblPr>
      <w:tblStyleRowBandSize w:val="1"/>
      <w:tblStyleColBandSize w:val="1"/>
      <w:tblBorders>
        <w:top w:val="single" w:sz="8" w:space="0" w:color="007CC2" w:themeColor="accent1"/>
        <w:bottom w:val="single" w:sz="8" w:space="0" w:color="007CC2" w:themeColor="accent1"/>
      </w:tblBorders>
    </w:tblPr>
    <w:tblStylePr w:type="firstRow">
      <w:rPr>
        <w:rFonts w:asciiTheme="majorHAnsi" w:eastAsiaTheme="majorEastAsia" w:hAnsiTheme="majorHAnsi" w:cstheme="majorBidi"/>
      </w:rPr>
      <w:tblPr/>
      <w:tcPr>
        <w:tcBorders>
          <w:top w:val="nil"/>
          <w:bottom w:val="single" w:sz="8" w:space="0" w:color="007CC2" w:themeColor="accent1"/>
        </w:tcBorders>
      </w:tcPr>
    </w:tblStylePr>
    <w:tblStylePr w:type="lastRow">
      <w:rPr>
        <w:b/>
        <w:bCs/>
        <w:color w:val="000000" w:themeColor="text2"/>
      </w:rPr>
      <w:tblPr/>
      <w:tcPr>
        <w:tcBorders>
          <w:top w:val="single" w:sz="8" w:space="0" w:color="007CC2" w:themeColor="accent1"/>
          <w:bottom w:val="single" w:sz="8" w:space="0" w:color="007CC2" w:themeColor="accent1"/>
        </w:tcBorders>
      </w:tcPr>
    </w:tblStylePr>
    <w:tblStylePr w:type="firstCol">
      <w:rPr>
        <w:b/>
        <w:bCs/>
      </w:rPr>
    </w:tblStylePr>
    <w:tblStylePr w:type="lastCol">
      <w:rPr>
        <w:b/>
        <w:bCs/>
      </w:rPr>
      <w:tblPr/>
      <w:tcPr>
        <w:tcBorders>
          <w:top w:val="single" w:sz="8" w:space="0" w:color="007CC2" w:themeColor="accent1"/>
          <w:bottom w:val="single" w:sz="8" w:space="0" w:color="007CC2" w:themeColor="accent1"/>
        </w:tcBorders>
      </w:tcPr>
    </w:tblStylePr>
    <w:tblStylePr w:type="band1Vert">
      <w:tblPr/>
      <w:tcPr>
        <w:shd w:val="clear" w:color="auto" w:fill="B0E2FF" w:themeFill="accent1" w:themeFillTint="3F"/>
      </w:tcPr>
    </w:tblStylePr>
    <w:tblStylePr w:type="band1Horz">
      <w:tblPr/>
      <w:tcPr>
        <w:shd w:val="clear" w:color="auto" w:fill="B0E2FF" w:themeFill="accent1" w:themeFillTint="3F"/>
      </w:tcPr>
    </w:tblStylePr>
  </w:style>
  <w:style w:type="table" w:styleId="LightShading-Accent1">
    <w:name w:val="Light Shading Accent 1"/>
    <w:basedOn w:val="TableNormal"/>
    <w:uiPriority w:val="60"/>
    <w:rsid w:val="004E41D2"/>
    <w:rPr>
      <w:color w:val="005C91" w:themeColor="accent1" w:themeShade="BF"/>
    </w:rPr>
    <w:tblPr>
      <w:tblStyleRowBandSize w:val="1"/>
      <w:tblStyleColBandSize w:val="1"/>
      <w:tblBorders>
        <w:top w:val="single" w:sz="8" w:space="0" w:color="007CC2" w:themeColor="accent1"/>
        <w:bottom w:val="single" w:sz="8" w:space="0" w:color="007CC2" w:themeColor="accent1"/>
      </w:tblBorders>
    </w:tblPr>
    <w:tblStylePr w:type="firstRow">
      <w:pPr>
        <w:spacing w:before="0" w:after="0" w:line="240" w:lineRule="auto"/>
      </w:pPr>
      <w:rPr>
        <w:b/>
        <w:bCs/>
      </w:rPr>
      <w:tblPr/>
      <w:tcPr>
        <w:tcBorders>
          <w:top w:val="single" w:sz="8" w:space="0" w:color="007CC2" w:themeColor="accent1"/>
          <w:left w:val="nil"/>
          <w:bottom w:val="single" w:sz="8" w:space="0" w:color="007CC2" w:themeColor="accent1"/>
          <w:right w:val="nil"/>
          <w:insideH w:val="nil"/>
          <w:insideV w:val="nil"/>
        </w:tcBorders>
      </w:tcPr>
    </w:tblStylePr>
    <w:tblStylePr w:type="lastRow">
      <w:pPr>
        <w:spacing w:before="0" w:after="0" w:line="240" w:lineRule="auto"/>
      </w:pPr>
      <w:rPr>
        <w:b/>
        <w:bCs/>
      </w:rPr>
      <w:tblPr/>
      <w:tcPr>
        <w:tcBorders>
          <w:top w:val="single" w:sz="8" w:space="0" w:color="007CC2" w:themeColor="accent1"/>
          <w:left w:val="nil"/>
          <w:bottom w:val="single" w:sz="8" w:space="0" w:color="007C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2FF" w:themeFill="accent1" w:themeFillTint="3F"/>
      </w:tcPr>
    </w:tblStylePr>
    <w:tblStylePr w:type="band1Horz">
      <w:tblPr/>
      <w:tcPr>
        <w:tcBorders>
          <w:left w:val="nil"/>
          <w:right w:val="nil"/>
          <w:insideH w:val="nil"/>
          <w:insideV w:val="nil"/>
        </w:tcBorders>
        <w:shd w:val="clear" w:color="auto" w:fill="B0E2FF" w:themeFill="accent1" w:themeFillTint="3F"/>
      </w:tcPr>
    </w:tblStylePr>
  </w:style>
  <w:style w:type="table" w:styleId="LightShading-Accent6">
    <w:name w:val="Light Shading Accent 6"/>
    <w:basedOn w:val="TableNormal"/>
    <w:uiPriority w:val="60"/>
    <w:rsid w:val="004E41D2"/>
    <w:rPr>
      <w:color w:val="5E9CDA" w:themeColor="accent6" w:themeShade="BF"/>
    </w:rPr>
    <w:tblPr>
      <w:tblStyleRowBandSize w:val="1"/>
      <w:tblStyleColBandSize w:val="1"/>
      <w:tblBorders>
        <w:top w:val="single" w:sz="8" w:space="0" w:color="B4D1EE" w:themeColor="accent6"/>
        <w:bottom w:val="single" w:sz="8" w:space="0" w:color="B4D1EE" w:themeColor="accent6"/>
      </w:tblBorders>
    </w:tblPr>
    <w:tblStylePr w:type="firstRow">
      <w:pPr>
        <w:spacing w:before="0" w:after="0" w:line="240" w:lineRule="auto"/>
      </w:pPr>
      <w:rPr>
        <w:b/>
        <w:bCs/>
      </w:rPr>
      <w:tblPr/>
      <w:tcPr>
        <w:tcBorders>
          <w:top w:val="single" w:sz="8" w:space="0" w:color="B4D1EE" w:themeColor="accent6"/>
          <w:left w:val="nil"/>
          <w:bottom w:val="single" w:sz="8" w:space="0" w:color="B4D1EE" w:themeColor="accent6"/>
          <w:right w:val="nil"/>
          <w:insideH w:val="nil"/>
          <w:insideV w:val="nil"/>
        </w:tcBorders>
      </w:tcPr>
    </w:tblStylePr>
    <w:tblStylePr w:type="lastRow">
      <w:pPr>
        <w:spacing w:before="0" w:after="0" w:line="240" w:lineRule="auto"/>
      </w:pPr>
      <w:rPr>
        <w:b/>
        <w:bCs/>
      </w:rPr>
      <w:tblPr/>
      <w:tcPr>
        <w:tcBorders>
          <w:top w:val="single" w:sz="8" w:space="0" w:color="B4D1EE" w:themeColor="accent6"/>
          <w:left w:val="nil"/>
          <w:bottom w:val="single" w:sz="8" w:space="0" w:color="B4D1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3FA" w:themeFill="accent6" w:themeFillTint="3F"/>
      </w:tcPr>
    </w:tblStylePr>
    <w:tblStylePr w:type="band1Horz">
      <w:tblPr/>
      <w:tcPr>
        <w:tcBorders>
          <w:left w:val="nil"/>
          <w:right w:val="nil"/>
          <w:insideH w:val="nil"/>
          <w:insideV w:val="nil"/>
        </w:tcBorders>
        <w:shd w:val="clear" w:color="auto" w:fill="ECF3FA" w:themeFill="accent6" w:themeFillTint="3F"/>
      </w:tcPr>
    </w:tblStylePr>
  </w:style>
  <w:style w:type="table" w:styleId="LightGrid-Accent6">
    <w:name w:val="Light Grid Accent 6"/>
    <w:basedOn w:val="TableNormal"/>
    <w:uiPriority w:val="62"/>
    <w:rsid w:val="00346A64"/>
    <w:tblPr>
      <w:tblStyleRowBandSize w:val="1"/>
      <w:tblStyleColBandSize w:val="1"/>
      <w:tblBorders>
        <w:top w:val="single" w:sz="8" w:space="0" w:color="B4D1EE" w:themeColor="accent6"/>
        <w:left w:val="single" w:sz="8" w:space="0" w:color="B4D1EE" w:themeColor="accent6"/>
        <w:bottom w:val="single" w:sz="8" w:space="0" w:color="B4D1EE" w:themeColor="accent6"/>
        <w:right w:val="single" w:sz="8" w:space="0" w:color="B4D1EE" w:themeColor="accent6"/>
        <w:insideH w:val="single" w:sz="8" w:space="0" w:color="B4D1EE" w:themeColor="accent6"/>
        <w:insideV w:val="single" w:sz="8" w:space="0" w:color="B4D1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D1EE" w:themeColor="accent6"/>
          <w:left w:val="single" w:sz="8" w:space="0" w:color="B4D1EE" w:themeColor="accent6"/>
          <w:bottom w:val="single" w:sz="18" w:space="0" w:color="B4D1EE" w:themeColor="accent6"/>
          <w:right w:val="single" w:sz="8" w:space="0" w:color="B4D1EE" w:themeColor="accent6"/>
          <w:insideH w:val="nil"/>
          <w:insideV w:val="single" w:sz="8" w:space="0" w:color="B4D1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D1EE" w:themeColor="accent6"/>
          <w:left w:val="single" w:sz="8" w:space="0" w:color="B4D1EE" w:themeColor="accent6"/>
          <w:bottom w:val="single" w:sz="8" w:space="0" w:color="B4D1EE" w:themeColor="accent6"/>
          <w:right w:val="single" w:sz="8" w:space="0" w:color="B4D1EE" w:themeColor="accent6"/>
          <w:insideH w:val="nil"/>
          <w:insideV w:val="single" w:sz="8" w:space="0" w:color="B4D1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D1EE" w:themeColor="accent6"/>
          <w:left w:val="single" w:sz="8" w:space="0" w:color="B4D1EE" w:themeColor="accent6"/>
          <w:bottom w:val="single" w:sz="8" w:space="0" w:color="B4D1EE" w:themeColor="accent6"/>
          <w:right w:val="single" w:sz="8" w:space="0" w:color="B4D1EE" w:themeColor="accent6"/>
        </w:tcBorders>
      </w:tcPr>
    </w:tblStylePr>
    <w:tblStylePr w:type="band1Vert">
      <w:tblPr/>
      <w:tcPr>
        <w:tcBorders>
          <w:top w:val="single" w:sz="8" w:space="0" w:color="B4D1EE" w:themeColor="accent6"/>
          <w:left w:val="single" w:sz="8" w:space="0" w:color="B4D1EE" w:themeColor="accent6"/>
          <w:bottom w:val="single" w:sz="8" w:space="0" w:color="B4D1EE" w:themeColor="accent6"/>
          <w:right w:val="single" w:sz="8" w:space="0" w:color="B4D1EE" w:themeColor="accent6"/>
        </w:tcBorders>
        <w:shd w:val="clear" w:color="auto" w:fill="ECF3FA" w:themeFill="accent6" w:themeFillTint="3F"/>
      </w:tcPr>
    </w:tblStylePr>
    <w:tblStylePr w:type="band1Horz">
      <w:tblPr/>
      <w:tcPr>
        <w:tcBorders>
          <w:top w:val="single" w:sz="8" w:space="0" w:color="B4D1EE" w:themeColor="accent6"/>
          <w:left w:val="single" w:sz="8" w:space="0" w:color="B4D1EE" w:themeColor="accent6"/>
          <w:bottom w:val="single" w:sz="8" w:space="0" w:color="B4D1EE" w:themeColor="accent6"/>
          <w:right w:val="single" w:sz="8" w:space="0" w:color="B4D1EE" w:themeColor="accent6"/>
          <w:insideV w:val="single" w:sz="8" w:space="0" w:color="B4D1EE" w:themeColor="accent6"/>
        </w:tcBorders>
        <w:shd w:val="clear" w:color="auto" w:fill="ECF3FA" w:themeFill="accent6" w:themeFillTint="3F"/>
      </w:tcPr>
    </w:tblStylePr>
    <w:tblStylePr w:type="band2Horz">
      <w:tblPr/>
      <w:tcPr>
        <w:tcBorders>
          <w:top w:val="single" w:sz="8" w:space="0" w:color="B4D1EE" w:themeColor="accent6"/>
          <w:left w:val="single" w:sz="8" w:space="0" w:color="B4D1EE" w:themeColor="accent6"/>
          <w:bottom w:val="single" w:sz="8" w:space="0" w:color="B4D1EE" w:themeColor="accent6"/>
          <w:right w:val="single" w:sz="8" w:space="0" w:color="B4D1EE" w:themeColor="accent6"/>
          <w:insideV w:val="single" w:sz="8" w:space="0" w:color="B4D1EE" w:themeColor="accent6"/>
        </w:tcBorders>
      </w:tcPr>
    </w:tblStylePr>
  </w:style>
  <w:style w:type="paragraph" w:customStyle="1" w:styleId="FrontCoverInformation-Small">
    <w:name w:val="Front Cover Information - Small"/>
    <w:basedOn w:val="FrontCoverTitle"/>
    <w:qFormat/>
    <w:rsid w:val="002A4048"/>
    <w:pPr>
      <w:framePr w:wrap="around"/>
    </w:pPr>
    <w:rPr>
      <w:sz w:val="24"/>
    </w:rPr>
  </w:style>
  <w:style w:type="paragraph" w:customStyle="1" w:styleId="Normal-CompactSpacing">
    <w:name w:val="Normal - Compact Spacing"/>
    <w:basedOn w:val="Normal"/>
    <w:qFormat/>
    <w:rsid w:val="005D09C1"/>
    <w:pPr>
      <w:spacing w:before="60" w:after="60" w:line="240" w:lineRule="auto"/>
    </w:pPr>
    <w:rPr>
      <w:bCs/>
    </w:rPr>
  </w:style>
  <w:style w:type="paragraph" w:customStyle="1" w:styleId="L2UnnumberedHeading">
    <w:name w:val="L2 Unnumbered Heading"/>
    <w:basedOn w:val="L1UnnumberedHeading"/>
    <w:next w:val="Normal"/>
    <w:unhideWhenUsed/>
    <w:qFormat/>
    <w:rsid w:val="00472559"/>
    <w:pPr>
      <w:outlineLvl w:val="1"/>
    </w:pPr>
    <w:rPr>
      <w:sz w:val="28"/>
    </w:rPr>
  </w:style>
  <w:style w:type="table" w:styleId="LightShading">
    <w:name w:val="Light Shading"/>
    <w:basedOn w:val="TableNormal"/>
    <w:uiPriority w:val="60"/>
    <w:rsid w:val="005D09C1"/>
    <w:rPr>
      <w:color w:val="313131" w:themeColor="text1" w:themeShade="BF"/>
    </w:rPr>
    <w:tblPr>
      <w:tblStyleRowBandSize w:val="1"/>
      <w:tblStyleColBandSize w:val="1"/>
      <w:tblBorders>
        <w:top w:val="single" w:sz="8" w:space="0" w:color="424242" w:themeColor="text1"/>
        <w:bottom w:val="single" w:sz="8" w:space="0" w:color="424242" w:themeColor="text1"/>
      </w:tblBorders>
    </w:tblPr>
    <w:tblStylePr w:type="firstRow">
      <w:pPr>
        <w:spacing w:before="0" w:after="0" w:line="240" w:lineRule="auto"/>
      </w:pPr>
      <w:rPr>
        <w:b/>
        <w:bCs/>
      </w:rPr>
      <w:tblPr/>
      <w:tcPr>
        <w:tcBorders>
          <w:top w:val="single" w:sz="8" w:space="0" w:color="424242" w:themeColor="text1"/>
          <w:left w:val="nil"/>
          <w:bottom w:val="single" w:sz="8" w:space="0" w:color="424242" w:themeColor="text1"/>
          <w:right w:val="nil"/>
          <w:insideH w:val="nil"/>
          <w:insideV w:val="nil"/>
        </w:tcBorders>
      </w:tcPr>
    </w:tblStylePr>
    <w:tblStylePr w:type="lastRow">
      <w:pPr>
        <w:spacing w:before="0" w:after="0" w:line="240" w:lineRule="auto"/>
      </w:pPr>
      <w:rPr>
        <w:b/>
        <w:bCs/>
      </w:rPr>
      <w:tblPr/>
      <w:tcPr>
        <w:tcBorders>
          <w:top w:val="single" w:sz="8" w:space="0" w:color="424242" w:themeColor="text1"/>
          <w:left w:val="nil"/>
          <w:bottom w:val="single" w:sz="8" w:space="0" w:color="4242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MediumList1">
    <w:name w:val="Medium List 1"/>
    <w:basedOn w:val="TableNormal"/>
    <w:uiPriority w:val="65"/>
    <w:rsid w:val="001848CE"/>
    <w:rPr>
      <w:color w:val="424242" w:themeColor="text1"/>
    </w:rPr>
    <w:tblPr>
      <w:tblStyleRowBandSize w:val="1"/>
      <w:tblStyleColBandSize w:val="1"/>
      <w:tblBorders>
        <w:top w:val="single" w:sz="8" w:space="0" w:color="424242" w:themeColor="text1"/>
        <w:bottom w:val="single" w:sz="8" w:space="0" w:color="424242" w:themeColor="text1"/>
      </w:tblBorders>
    </w:tblPr>
    <w:tblStylePr w:type="firstRow">
      <w:rPr>
        <w:rFonts w:asciiTheme="majorHAnsi" w:eastAsiaTheme="majorEastAsia" w:hAnsiTheme="majorHAnsi" w:cstheme="majorBidi"/>
      </w:rPr>
      <w:tblPr/>
      <w:tcPr>
        <w:tcBorders>
          <w:top w:val="nil"/>
          <w:bottom w:val="single" w:sz="8" w:space="0" w:color="424242" w:themeColor="text1"/>
        </w:tcBorders>
      </w:tcPr>
    </w:tblStylePr>
    <w:tblStylePr w:type="lastRow">
      <w:rPr>
        <w:b/>
        <w:bCs/>
        <w:color w:val="000000" w:themeColor="text2"/>
      </w:rPr>
      <w:tblPr/>
      <w:tcPr>
        <w:tcBorders>
          <w:top w:val="single" w:sz="8" w:space="0" w:color="424242" w:themeColor="text1"/>
          <w:bottom w:val="single" w:sz="8" w:space="0" w:color="424242" w:themeColor="text1"/>
        </w:tcBorders>
      </w:tcPr>
    </w:tblStylePr>
    <w:tblStylePr w:type="firstCol">
      <w:rPr>
        <w:b/>
        <w:bCs/>
      </w:rPr>
    </w:tblStylePr>
    <w:tblStylePr w:type="lastCol">
      <w:rPr>
        <w:b/>
        <w:bCs/>
      </w:rPr>
      <w:tblPr/>
      <w:tcPr>
        <w:tcBorders>
          <w:top w:val="single" w:sz="8" w:space="0" w:color="424242" w:themeColor="text1"/>
          <w:bottom w:val="single" w:sz="8" w:space="0" w:color="424242"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LightList">
    <w:name w:val="Light List"/>
    <w:basedOn w:val="TableNormal"/>
    <w:uiPriority w:val="61"/>
    <w:rsid w:val="00004D9A"/>
    <w:tblPr>
      <w:tblStyleRowBandSize w:val="1"/>
      <w:tblStyleColBandSize w:val="1"/>
      <w:tblBorders>
        <w:top w:val="single" w:sz="8" w:space="0" w:color="424242" w:themeColor="text1"/>
        <w:left w:val="single" w:sz="8" w:space="0" w:color="424242" w:themeColor="text1"/>
        <w:bottom w:val="single" w:sz="8" w:space="0" w:color="424242" w:themeColor="text1"/>
        <w:right w:val="single" w:sz="8" w:space="0" w:color="424242" w:themeColor="text1"/>
      </w:tblBorders>
    </w:tblPr>
    <w:tblStylePr w:type="firstRow">
      <w:pPr>
        <w:spacing w:before="0" w:after="0" w:line="240" w:lineRule="auto"/>
      </w:pPr>
      <w:rPr>
        <w:b/>
        <w:bCs/>
        <w:color w:val="FFFFFF" w:themeColor="background1"/>
      </w:rPr>
      <w:tblPr/>
      <w:tcPr>
        <w:shd w:val="clear" w:color="auto" w:fill="424242" w:themeFill="text1"/>
      </w:tcPr>
    </w:tblStylePr>
    <w:tblStylePr w:type="lastRow">
      <w:pPr>
        <w:spacing w:before="0" w:after="0" w:line="240" w:lineRule="auto"/>
      </w:pPr>
      <w:rPr>
        <w:b/>
        <w:bCs/>
      </w:rPr>
      <w:tblPr/>
      <w:tcPr>
        <w:tcBorders>
          <w:top w:val="double" w:sz="6" w:space="0" w:color="424242" w:themeColor="text1"/>
          <w:left w:val="single" w:sz="8" w:space="0" w:color="424242" w:themeColor="text1"/>
          <w:bottom w:val="single" w:sz="8" w:space="0" w:color="424242" w:themeColor="text1"/>
          <w:right w:val="single" w:sz="8" w:space="0" w:color="424242" w:themeColor="text1"/>
        </w:tcBorders>
      </w:tcPr>
    </w:tblStylePr>
    <w:tblStylePr w:type="firstCol">
      <w:rPr>
        <w:b/>
        <w:bCs/>
      </w:rPr>
    </w:tblStylePr>
    <w:tblStylePr w:type="lastCol">
      <w:rPr>
        <w:b/>
        <w:bCs/>
      </w:rPr>
    </w:tblStylePr>
    <w:tblStylePr w:type="band1Vert">
      <w:tblPr/>
      <w:tcPr>
        <w:tcBorders>
          <w:top w:val="single" w:sz="8" w:space="0" w:color="424242" w:themeColor="text1"/>
          <w:left w:val="single" w:sz="8" w:space="0" w:color="424242" w:themeColor="text1"/>
          <w:bottom w:val="single" w:sz="8" w:space="0" w:color="424242" w:themeColor="text1"/>
          <w:right w:val="single" w:sz="8" w:space="0" w:color="424242" w:themeColor="text1"/>
        </w:tcBorders>
      </w:tcPr>
    </w:tblStylePr>
    <w:tblStylePr w:type="band1Horz">
      <w:tblPr/>
      <w:tcPr>
        <w:tcBorders>
          <w:top w:val="single" w:sz="8" w:space="0" w:color="424242" w:themeColor="text1"/>
          <w:left w:val="single" w:sz="8" w:space="0" w:color="424242" w:themeColor="text1"/>
          <w:bottom w:val="single" w:sz="8" w:space="0" w:color="424242" w:themeColor="text1"/>
          <w:right w:val="single" w:sz="8" w:space="0" w:color="424242" w:themeColor="text1"/>
        </w:tcBorders>
      </w:tcPr>
    </w:tblStylePr>
  </w:style>
  <w:style w:type="table" w:styleId="MediumShading1-Accent1">
    <w:name w:val="Medium Shading 1 Accent 1"/>
    <w:basedOn w:val="TableNormal"/>
    <w:uiPriority w:val="63"/>
    <w:rsid w:val="00E45F5E"/>
    <w:rPr>
      <w:rFonts w:ascii="Times New Roman" w:eastAsia="Times New Roman" w:hAnsi="Times New Roman" w:cs="Times New Roman"/>
      <w:sz w:val="20"/>
      <w:szCs w:val="20"/>
      <w:lang w:val="en-AU" w:eastAsia="en-AU"/>
    </w:rPr>
    <w:tblPr>
      <w:tblStyleRowBandSize w:val="1"/>
      <w:tblStyleColBandSize w:val="1"/>
      <w:tblBorders>
        <w:top w:val="single" w:sz="8" w:space="0" w:color="12A8FF" w:themeColor="accent1" w:themeTint="BF"/>
        <w:left w:val="single" w:sz="8" w:space="0" w:color="12A8FF" w:themeColor="accent1" w:themeTint="BF"/>
        <w:bottom w:val="single" w:sz="8" w:space="0" w:color="12A8FF" w:themeColor="accent1" w:themeTint="BF"/>
        <w:right w:val="single" w:sz="8" w:space="0" w:color="12A8FF" w:themeColor="accent1" w:themeTint="BF"/>
        <w:insideH w:val="single" w:sz="8" w:space="0" w:color="12A8FF" w:themeColor="accent1" w:themeTint="BF"/>
      </w:tblBorders>
    </w:tblPr>
    <w:tblStylePr w:type="firstRow">
      <w:pPr>
        <w:spacing w:before="0" w:after="0" w:line="240" w:lineRule="auto"/>
      </w:pPr>
      <w:rPr>
        <w:b/>
        <w:bCs/>
        <w:color w:val="FFFFFF" w:themeColor="background1"/>
      </w:rPr>
      <w:tblPr/>
      <w:tcPr>
        <w:tcBorders>
          <w:top w:val="single" w:sz="8" w:space="0" w:color="12A8FF" w:themeColor="accent1" w:themeTint="BF"/>
          <w:left w:val="single" w:sz="8" w:space="0" w:color="12A8FF" w:themeColor="accent1" w:themeTint="BF"/>
          <w:bottom w:val="single" w:sz="8" w:space="0" w:color="12A8FF" w:themeColor="accent1" w:themeTint="BF"/>
          <w:right w:val="single" w:sz="8" w:space="0" w:color="12A8FF" w:themeColor="accent1" w:themeTint="BF"/>
          <w:insideH w:val="nil"/>
          <w:insideV w:val="nil"/>
        </w:tcBorders>
        <w:shd w:val="clear" w:color="auto" w:fill="007CC2" w:themeFill="accent1"/>
      </w:tcPr>
    </w:tblStylePr>
    <w:tblStylePr w:type="lastRow">
      <w:pPr>
        <w:spacing w:before="0" w:after="0" w:line="240" w:lineRule="auto"/>
      </w:pPr>
      <w:rPr>
        <w:b/>
        <w:bCs/>
      </w:rPr>
      <w:tblPr/>
      <w:tcPr>
        <w:tcBorders>
          <w:top w:val="double" w:sz="6" w:space="0" w:color="12A8FF" w:themeColor="accent1" w:themeTint="BF"/>
          <w:left w:val="single" w:sz="8" w:space="0" w:color="12A8FF" w:themeColor="accent1" w:themeTint="BF"/>
          <w:bottom w:val="single" w:sz="8" w:space="0" w:color="12A8FF" w:themeColor="accent1" w:themeTint="BF"/>
          <w:right w:val="single" w:sz="8" w:space="0" w:color="12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E2FF" w:themeFill="accent1" w:themeFillTint="3F"/>
      </w:tcPr>
    </w:tblStylePr>
    <w:tblStylePr w:type="band1Horz">
      <w:tblPr/>
      <w:tcPr>
        <w:tcBorders>
          <w:insideH w:val="nil"/>
          <w:insideV w:val="nil"/>
        </w:tcBorders>
        <w:shd w:val="clear" w:color="auto" w:fill="B0E2FF"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56290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OutlineNumber">
    <w:name w:val="Outline Number"/>
    <w:basedOn w:val="ListParagraph"/>
    <w:qFormat/>
    <w:rsid w:val="004F1F59"/>
    <w:pPr>
      <w:numPr>
        <w:numId w:val="3"/>
      </w:numPr>
      <w:spacing w:before="0" w:after="0"/>
    </w:pPr>
    <w:rPr>
      <w:noProof/>
    </w:rPr>
  </w:style>
  <w:style w:type="paragraph" w:customStyle="1" w:styleId="OutlineNumber-Relaxed">
    <w:name w:val="Outline Number - Relaxed"/>
    <w:basedOn w:val="OutlineNumber"/>
    <w:qFormat/>
    <w:rsid w:val="004F1F59"/>
    <w:pPr>
      <w:spacing w:before="120" w:after="120"/>
    </w:pPr>
  </w:style>
  <w:style w:type="paragraph" w:customStyle="1" w:styleId="TinyText">
    <w:name w:val="Tiny Text"/>
    <w:basedOn w:val="Normal"/>
    <w:qFormat/>
    <w:rsid w:val="00FC54EA"/>
    <w:pPr>
      <w:spacing w:before="0" w:after="0" w:line="120" w:lineRule="auto"/>
    </w:pPr>
    <w:rPr>
      <w:sz w:val="2"/>
    </w:rPr>
  </w:style>
  <w:style w:type="paragraph" w:customStyle="1" w:styleId="PolicyTypeMarker">
    <w:name w:val="Policy Type Marker"/>
    <w:basedOn w:val="Normal"/>
    <w:qFormat/>
    <w:rsid w:val="00F66D8D"/>
    <w:pPr>
      <w:framePr w:hSpace="181" w:wrap="around" w:vAnchor="page" w:hAnchor="page" w:x="852" w:yAlign="bottom"/>
      <w:spacing w:before="0" w:after="0" w:line="240" w:lineRule="auto"/>
      <w:jc w:val="center"/>
    </w:pPr>
    <w:rPr>
      <w:rFonts w:ascii="Gill Sans MT" w:hAnsi="Gill Sans MT"/>
      <w:caps/>
      <w:color w:val="FFFFFF" w:themeColor="background1"/>
      <w:spacing w:val="24"/>
      <w:sz w:val="28"/>
    </w:rPr>
  </w:style>
  <w:style w:type="paragraph" w:customStyle="1" w:styleId="SecurityMarking">
    <w:name w:val="Security Marking"/>
    <w:basedOn w:val="Normal"/>
    <w:qFormat/>
    <w:rsid w:val="00E5321C"/>
    <w:rPr>
      <w:caps/>
      <w:spacing w:val="2"/>
    </w:rPr>
  </w:style>
  <w:style w:type="table" w:styleId="GridTable2-Accent1">
    <w:name w:val="Grid Table 2 Accent 1"/>
    <w:basedOn w:val="TableNormal"/>
    <w:uiPriority w:val="47"/>
    <w:rsid w:val="00AC2323"/>
    <w:tblPr>
      <w:tblStyleRowBandSize w:val="1"/>
      <w:tblStyleColBandSize w:val="1"/>
      <w:tblBorders>
        <w:top w:val="single" w:sz="2" w:space="0" w:color="41B9FF" w:themeColor="accent1" w:themeTint="99"/>
        <w:bottom w:val="single" w:sz="2" w:space="0" w:color="41B9FF" w:themeColor="accent1" w:themeTint="99"/>
        <w:insideH w:val="single" w:sz="2" w:space="0" w:color="41B9FF" w:themeColor="accent1" w:themeTint="99"/>
        <w:insideV w:val="single" w:sz="2" w:space="0" w:color="41B9FF" w:themeColor="accent1" w:themeTint="99"/>
      </w:tblBorders>
    </w:tblPr>
    <w:tblStylePr w:type="firstRow">
      <w:rPr>
        <w:b/>
        <w:bCs/>
      </w:rPr>
      <w:tblPr/>
      <w:tcPr>
        <w:tcBorders>
          <w:top w:val="nil"/>
          <w:bottom w:val="single" w:sz="12" w:space="0" w:color="41B9FF" w:themeColor="accent1" w:themeTint="99"/>
          <w:insideH w:val="nil"/>
          <w:insideV w:val="nil"/>
        </w:tcBorders>
        <w:shd w:val="clear" w:color="auto" w:fill="FFFFFF" w:themeFill="background1"/>
      </w:tcPr>
    </w:tblStylePr>
    <w:tblStylePr w:type="lastRow">
      <w:rPr>
        <w:b/>
        <w:bCs/>
      </w:rPr>
      <w:tblPr/>
      <w:tcPr>
        <w:tcBorders>
          <w:top w:val="double" w:sz="2" w:space="0" w:color="41B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ridTable6Colorful-Accent1">
    <w:name w:val="Grid Table 6 Colorful Accent 1"/>
    <w:basedOn w:val="TableNormal"/>
    <w:uiPriority w:val="51"/>
    <w:rsid w:val="00AC2323"/>
    <w:rPr>
      <w:color w:val="005C91" w:themeColor="accent1" w:themeShade="BF"/>
    </w:rPr>
    <w:tblPr>
      <w:tblStyleRowBandSize w:val="1"/>
      <w:tblStyleColBandSize w:val="1"/>
      <w:tblBorders>
        <w:top w:val="single" w:sz="4" w:space="0" w:color="41B9FF" w:themeColor="accent1" w:themeTint="99"/>
        <w:left w:val="single" w:sz="4" w:space="0" w:color="41B9FF" w:themeColor="accent1" w:themeTint="99"/>
        <w:bottom w:val="single" w:sz="4" w:space="0" w:color="41B9FF" w:themeColor="accent1" w:themeTint="99"/>
        <w:right w:val="single" w:sz="4" w:space="0" w:color="41B9FF" w:themeColor="accent1" w:themeTint="99"/>
        <w:insideH w:val="single" w:sz="4" w:space="0" w:color="41B9FF" w:themeColor="accent1" w:themeTint="99"/>
        <w:insideV w:val="single" w:sz="4" w:space="0" w:color="41B9FF" w:themeColor="accent1" w:themeTint="99"/>
      </w:tblBorders>
    </w:tblPr>
    <w:tblStylePr w:type="firstRow">
      <w:rPr>
        <w:b/>
        <w:bCs/>
      </w:rPr>
      <w:tblPr/>
      <w:tcPr>
        <w:tcBorders>
          <w:bottom w:val="single" w:sz="12" w:space="0" w:color="41B9FF" w:themeColor="accent1" w:themeTint="99"/>
        </w:tcBorders>
      </w:tcPr>
    </w:tblStylePr>
    <w:tblStylePr w:type="lastRow">
      <w:rPr>
        <w:b/>
        <w:bCs/>
      </w:rPr>
      <w:tblPr/>
      <w:tcPr>
        <w:tcBorders>
          <w:top w:val="double" w:sz="4" w:space="0" w:color="41B9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Table2-Accent1">
    <w:name w:val="List Table 2 Accent 1"/>
    <w:basedOn w:val="TableNormal"/>
    <w:uiPriority w:val="47"/>
    <w:rsid w:val="00AC2323"/>
    <w:tblPr>
      <w:tblStyleRowBandSize w:val="1"/>
      <w:tblStyleColBandSize w:val="1"/>
      <w:tblBorders>
        <w:top w:val="single" w:sz="4" w:space="0" w:color="41B9FF" w:themeColor="accent1" w:themeTint="99"/>
        <w:bottom w:val="single" w:sz="4" w:space="0" w:color="41B9FF" w:themeColor="accent1" w:themeTint="99"/>
        <w:insideH w:val="single" w:sz="4" w:space="0" w:color="41B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ridTable2">
    <w:name w:val="Grid Table 2"/>
    <w:basedOn w:val="TableNormal"/>
    <w:uiPriority w:val="47"/>
    <w:rsid w:val="00FA663D"/>
    <w:tblPr>
      <w:tblStyleRowBandSize w:val="1"/>
      <w:tblStyleColBandSize w:val="1"/>
      <w:tblBorders>
        <w:top w:val="single" w:sz="2" w:space="0" w:color="8D8D8D" w:themeColor="text1" w:themeTint="99"/>
        <w:bottom w:val="single" w:sz="2" w:space="0" w:color="8D8D8D" w:themeColor="text1" w:themeTint="99"/>
        <w:insideH w:val="single" w:sz="2" w:space="0" w:color="8D8D8D" w:themeColor="text1" w:themeTint="99"/>
        <w:insideV w:val="single" w:sz="2" w:space="0" w:color="8D8D8D" w:themeColor="text1" w:themeTint="99"/>
      </w:tblBorders>
    </w:tblPr>
    <w:tblStylePr w:type="firstRow">
      <w:rPr>
        <w:b/>
        <w:bCs/>
      </w:rPr>
      <w:tblPr/>
      <w:tcPr>
        <w:tcBorders>
          <w:top w:val="nil"/>
          <w:bottom w:val="single" w:sz="12" w:space="0" w:color="8D8D8D" w:themeColor="text1" w:themeTint="99"/>
          <w:insideH w:val="nil"/>
          <w:insideV w:val="nil"/>
        </w:tcBorders>
        <w:shd w:val="clear" w:color="auto" w:fill="FFFFFF" w:themeFill="background1"/>
      </w:tcPr>
    </w:tblStylePr>
    <w:tblStylePr w:type="lastRow">
      <w:rPr>
        <w:b/>
        <w:bCs/>
      </w:rPr>
      <w:tblPr/>
      <w:tcPr>
        <w:tcBorders>
          <w:top w:val="double" w:sz="2" w:space="0" w:color="8D8D8D"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text1" w:themeFillTint="33"/>
      </w:tcPr>
    </w:tblStylePr>
    <w:tblStylePr w:type="band1Horz">
      <w:tblPr/>
      <w:tcPr>
        <w:shd w:val="clear" w:color="auto" w:fill="D9D9D9" w:themeFill="text1" w:themeFillTint="33"/>
      </w:tcPr>
    </w:tblStylePr>
  </w:style>
  <w:style w:type="table" w:styleId="ListTable4-Accent1">
    <w:name w:val="List Table 4 Accent 1"/>
    <w:basedOn w:val="TableNormal"/>
    <w:uiPriority w:val="49"/>
    <w:rsid w:val="00FA663D"/>
    <w:tblPr>
      <w:tblStyleRowBandSize w:val="1"/>
      <w:tblStyleColBandSize w:val="1"/>
      <w:tblBorders>
        <w:top w:val="single" w:sz="4" w:space="0" w:color="41B9FF" w:themeColor="accent1" w:themeTint="99"/>
        <w:left w:val="single" w:sz="4" w:space="0" w:color="41B9FF" w:themeColor="accent1" w:themeTint="99"/>
        <w:bottom w:val="single" w:sz="4" w:space="0" w:color="41B9FF" w:themeColor="accent1" w:themeTint="99"/>
        <w:right w:val="single" w:sz="4" w:space="0" w:color="41B9FF" w:themeColor="accent1" w:themeTint="99"/>
        <w:insideH w:val="single" w:sz="4" w:space="0" w:color="41B9FF" w:themeColor="accent1" w:themeTint="99"/>
      </w:tblBorders>
    </w:tblPr>
    <w:tblStylePr w:type="firstRow">
      <w:rPr>
        <w:b/>
        <w:bCs/>
        <w:color w:val="FFFFFF" w:themeColor="background1"/>
      </w:rPr>
      <w:tblPr/>
      <w:tcPr>
        <w:tcBorders>
          <w:top w:val="single" w:sz="4" w:space="0" w:color="007CC2" w:themeColor="accent1"/>
          <w:left w:val="single" w:sz="4" w:space="0" w:color="007CC2" w:themeColor="accent1"/>
          <w:bottom w:val="single" w:sz="4" w:space="0" w:color="007CC2" w:themeColor="accent1"/>
          <w:right w:val="single" w:sz="4" w:space="0" w:color="007CC2" w:themeColor="accent1"/>
          <w:insideH w:val="nil"/>
        </w:tcBorders>
        <w:shd w:val="clear" w:color="auto" w:fill="007CC2" w:themeFill="accent1"/>
      </w:tcPr>
    </w:tblStylePr>
    <w:tblStylePr w:type="lastRow">
      <w:rPr>
        <w:b/>
        <w:bCs/>
      </w:rPr>
      <w:tblPr/>
      <w:tcPr>
        <w:tcBorders>
          <w:top w:val="double" w:sz="4" w:space="0" w:color="41B9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Table4">
    <w:name w:val="List Table 4"/>
    <w:basedOn w:val="TableNormal"/>
    <w:uiPriority w:val="49"/>
    <w:rsid w:val="00FA663D"/>
    <w:tblPr>
      <w:tblStyleRowBandSize w:val="1"/>
      <w:tblStyleColBandSize w:val="1"/>
      <w:tblBorders>
        <w:top w:val="single" w:sz="4" w:space="0" w:color="8D8D8D" w:themeColor="text1" w:themeTint="99"/>
        <w:left w:val="single" w:sz="4" w:space="0" w:color="8D8D8D" w:themeColor="text1" w:themeTint="99"/>
        <w:bottom w:val="single" w:sz="4" w:space="0" w:color="8D8D8D" w:themeColor="text1" w:themeTint="99"/>
        <w:right w:val="single" w:sz="4" w:space="0" w:color="8D8D8D" w:themeColor="text1" w:themeTint="99"/>
        <w:insideH w:val="single" w:sz="4" w:space="0" w:color="8D8D8D" w:themeColor="text1" w:themeTint="99"/>
      </w:tblBorders>
    </w:tblPr>
    <w:tblStylePr w:type="firstRow">
      <w:rPr>
        <w:b/>
        <w:bCs/>
        <w:color w:val="FFFFFF" w:themeColor="background1"/>
      </w:rPr>
      <w:tblPr/>
      <w:tcPr>
        <w:tcBorders>
          <w:top w:val="single" w:sz="4" w:space="0" w:color="424242" w:themeColor="text1"/>
          <w:left w:val="single" w:sz="4" w:space="0" w:color="424242" w:themeColor="text1"/>
          <w:bottom w:val="single" w:sz="4" w:space="0" w:color="424242" w:themeColor="text1"/>
          <w:right w:val="single" w:sz="4" w:space="0" w:color="424242" w:themeColor="text1"/>
          <w:insideH w:val="nil"/>
        </w:tcBorders>
        <w:shd w:val="clear" w:color="auto" w:fill="424242" w:themeFill="text1"/>
      </w:tcPr>
    </w:tblStylePr>
    <w:tblStylePr w:type="lastRow">
      <w:rPr>
        <w:b/>
        <w:bCs/>
      </w:rPr>
      <w:tblPr/>
      <w:tcPr>
        <w:tcBorders>
          <w:top w:val="double" w:sz="4" w:space="0" w:color="8D8D8D" w:themeColor="text1" w:themeTint="99"/>
        </w:tcBorders>
      </w:tcPr>
    </w:tblStylePr>
    <w:tblStylePr w:type="firstCol">
      <w:rPr>
        <w:b/>
        <w:bCs/>
      </w:rPr>
    </w:tblStylePr>
    <w:tblStylePr w:type="lastCol">
      <w:rPr>
        <w:b/>
        <w:bCs/>
      </w:rPr>
    </w:tblStylePr>
    <w:tblStylePr w:type="band1Vert">
      <w:tblPr/>
      <w:tcPr>
        <w:shd w:val="clear" w:color="auto" w:fill="D9D9D9" w:themeFill="text1" w:themeFillTint="33"/>
      </w:tcPr>
    </w:tblStylePr>
    <w:tblStylePr w:type="band1Horz">
      <w:tblPr/>
      <w:tcPr>
        <w:shd w:val="clear" w:color="auto" w:fill="D9D9D9" w:themeFill="text1" w:themeFillTint="33"/>
      </w:tcPr>
    </w:tblStylePr>
  </w:style>
  <w:style w:type="table" w:styleId="TableGridLight">
    <w:name w:val="Grid Table Light"/>
    <w:basedOn w:val="TableNormal"/>
    <w:uiPriority w:val="40"/>
    <w:rsid w:val="00FA66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A66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InformationTable">
    <w:name w:val="Footer Information Table"/>
    <w:qFormat/>
    <w:rsid w:val="004672DB"/>
    <w:pPr>
      <w:framePr w:wrap="auto" w:hAnchor="text" w:yAlign="bottom"/>
    </w:pPr>
    <w:rPr>
      <w:rFonts w:ascii="Arial" w:eastAsiaTheme="minorHAnsi" w:hAnsi="Arial" w:cs="Arial"/>
      <w:noProof/>
      <w:color w:val="424242" w:themeColor="text1"/>
      <w:sz w:val="16"/>
      <w:szCs w:val="16"/>
      <w:lang w:val="en-AU" w:eastAsia="en-AU"/>
    </w:rPr>
  </w:style>
  <w:style w:type="paragraph" w:customStyle="1" w:styleId="FooterPrintControlWarning">
    <w:name w:val="Footer Print Control Warning"/>
    <w:basedOn w:val="FooterInformationTable"/>
    <w:qFormat/>
    <w:rsid w:val="00286F3E"/>
    <w:pPr>
      <w:framePr w:wrap="auto"/>
    </w:pPr>
    <w:rPr>
      <w:b/>
    </w:rPr>
  </w:style>
  <w:style w:type="paragraph" w:customStyle="1" w:styleId="FooterInformationTable-RightAlign">
    <w:name w:val="Footer Information Table - Right Align"/>
    <w:basedOn w:val="FooterInformationTable"/>
    <w:qFormat/>
    <w:rsid w:val="00DE3873"/>
    <w:pPr>
      <w:framePr w:wrap="auto"/>
      <w:jc w:val="right"/>
    </w:pPr>
  </w:style>
  <w:style w:type="paragraph" w:styleId="FootnoteText">
    <w:name w:val="footnote text"/>
    <w:basedOn w:val="Normal"/>
    <w:link w:val="FootnoteTextChar"/>
    <w:uiPriority w:val="99"/>
    <w:semiHidden/>
    <w:unhideWhenUsed/>
    <w:rsid w:val="00164BE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64BE1"/>
    <w:rPr>
      <w:rFonts w:ascii="Arial" w:eastAsiaTheme="minorHAnsi" w:hAnsi="Arial" w:cs="Arial"/>
      <w:sz w:val="20"/>
      <w:szCs w:val="20"/>
      <w:lang w:val="en-AU"/>
    </w:rPr>
  </w:style>
  <w:style w:type="character" w:styleId="FootnoteReference">
    <w:name w:val="footnote reference"/>
    <w:basedOn w:val="DefaultParagraphFont"/>
    <w:uiPriority w:val="99"/>
    <w:semiHidden/>
    <w:unhideWhenUsed/>
    <w:rsid w:val="00164BE1"/>
    <w:rPr>
      <w:vertAlign w:val="superscript"/>
    </w:rPr>
  </w:style>
  <w:style w:type="paragraph" w:styleId="BodyText">
    <w:name w:val="Body Text"/>
    <w:basedOn w:val="Normal"/>
    <w:link w:val="BodyTextChar"/>
    <w:rsid w:val="00164BE1"/>
    <w:pPr>
      <w:spacing w:before="0" w:line="240" w:lineRule="auto"/>
    </w:pPr>
    <w:rPr>
      <w:rFonts w:ascii="Arial Narrow" w:eastAsia="Times New Roman" w:hAnsi="Arial Narrow" w:cs="Times New Roman"/>
      <w:sz w:val="22"/>
      <w:lang w:val="en-US"/>
    </w:rPr>
  </w:style>
  <w:style w:type="character" w:customStyle="1" w:styleId="BodyTextChar">
    <w:name w:val="Body Text Char"/>
    <w:basedOn w:val="DefaultParagraphFont"/>
    <w:link w:val="BodyText"/>
    <w:rsid w:val="00164BE1"/>
    <w:rPr>
      <w:rFonts w:ascii="Arial Narrow" w:eastAsia="Times New Roman" w:hAnsi="Arial Narrow" w:cs="Times New Roman"/>
      <w:sz w:val="22"/>
      <w:szCs w:val="22"/>
    </w:rPr>
  </w:style>
  <w:style w:type="paragraph" w:customStyle="1" w:styleId="StyleHeading1ArialNarrow12pt">
    <w:name w:val="Style Heading 1 + Arial Narrow 12 pt"/>
    <w:basedOn w:val="Heading1"/>
    <w:link w:val="StyleHeading1ArialNarrow12ptChar"/>
    <w:rsid w:val="00164BE1"/>
    <w:pPr>
      <w:keepLines w:val="0"/>
      <w:tabs>
        <w:tab w:val="clear" w:pos="851"/>
        <w:tab w:val="num" w:pos="432"/>
      </w:tabs>
      <w:spacing w:after="120"/>
      <w:ind w:left="432" w:hanging="432"/>
    </w:pPr>
    <w:rPr>
      <w:rFonts w:ascii="Arial Narrow" w:eastAsia="Times New Roman" w:hAnsi="Arial Narrow" w:cs="Arial"/>
      <w:caps/>
      <w:color w:val="auto"/>
      <w:spacing w:val="0"/>
      <w:kern w:val="32"/>
      <w:sz w:val="22"/>
      <w:szCs w:val="22"/>
      <w:lang w:val="en-US"/>
    </w:rPr>
  </w:style>
  <w:style w:type="character" w:customStyle="1" w:styleId="StyleHeading1ArialNarrow12ptChar">
    <w:name w:val="Style Heading 1 + Arial Narrow 12 pt Char"/>
    <w:link w:val="StyleHeading1ArialNarrow12pt"/>
    <w:rsid w:val="00164BE1"/>
    <w:rPr>
      <w:rFonts w:ascii="Arial Narrow" w:eastAsia="Times New Roman" w:hAnsi="Arial Narrow" w:cs="Arial"/>
      <w:b/>
      <w:bCs/>
      <w:caps/>
      <w:kern w:val="32"/>
      <w:sz w:val="22"/>
      <w:szCs w:val="22"/>
    </w:rPr>
  </w:style>
  <w:style w:type="table" w:styleId="LightGrid-Accent1">
    <w:name w:val="Light Grid Accent 1"/>
    <w:basedOn w:val="TableNormal"/>
    <w:uiPriority w:val="62"/>
    <w:rsid w:val="00164BE1"/>
    <w:rPr>
      <w:rFonts w:ascii="Times New Roman" w:eastAsia="Times New Roman" w:hAnsi="Times New Roman" w:cs="Times New Roman"/>
      <w:sz w:val="20"/>
      <w:szCs w:val="20"/>
      <w:lang w:val="en-AU" w:eastAsia="en-AU"/>
    </w:rPr>
    <w:tblPr>
      <w:tblStyleRowBandSize w:val="1"/>
      <w:tblStyleColBandSize w:val="1"/>
      <w:tblBorders>
        <w:top w:val="single" w:sz="8" w:space="0" w:color="007CC2" w:themeColor="accent1"/>
        <w:left w:val="single" w:sz="8" w:space="0" w:color="007CC2" w:themeColor="accent1"/>
        <w:bottom w:val="single" w:sz="8" w:space="0" w:color="007CC2" w:themeColor="accent1"/>
        <w:right w:val="single" w:sz="8" w:space="0" w:color="007CC2" w:themeColor="accent1"/>
        <w:insideH w:val="single" w:sz="8" w:space="0" w:color="007CC2" w:themeColor="accent1"/>
        <w:insideV w:val="single" w:sz="8" w:space="0" w:color="007C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C2" w:themeColor="accent1"/>
          <w:left w:val="single" w:sz="8" w:space="0" w:color="007CC2" w:themeColor="accent1"/>
          <w:bottom w:val="single" w:sz="18" w:space="0" w:color="007CC2" w:themeColor="accent1"/>
          <w:right w:val="single" w:sz="8" w:space="0" w:color="007CC2" w:themeColor="accent1"/>
          <w:insideH w:val="nil"/>
          <w:insideV w:val="single" w:sz="8" w:space="0" w:color="007C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C2" w:themeColor="accent1"/>
          <w:left w:val="single" w:sz="8" w:space="0" w:color="007CC2" w:themeColor="accent1"/>
          <w:bottom w:val="single" w:sz="8" w:space="0" w:color="007CC2" w:themeColor="accent1"/>
          <w:right w:val="single" w:sz="8" w:space="0" w:color="007CC2" w:themeColor="accent1"/>
          <w:insideH w:val="nil"/>
          <w:insideV w:val="single" w:sz="8" w:space="0" w:color="007C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tcPr>
    </w:tblStylePr>
    <w:tblStylePr w:type="band1Vert">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shd w:val="clear" w:color="auto" w:fill="B0E2FF" w:themeFill="accent1" w:themeFillTint="3F"/>
      </w:tcPr>
    </w:tblStylePr>
    <w:tblStylePr w:type="band1Horz">
      <w:tblPr/>
      <w:tcPr>
        <w:tcBorders>
          <w:top w:val="single" w:sz="8" w:space="0" w:color="007CC2" w:themeColor="accent1"/>
          <w:left w:val="single" w:sz="8" w:space="0" w:color="007CC2" w:themeColor="accent1"/>
          <w:bottom w:val="single" w:sz="8" w:space="0" w:color="007CC2" w:themeColor="accent1"/>
          <w:right w:val="single" w:sz="8" w:space="0" w:color="007CC2" w:themeColor="accent1"/>
          <w:insideV w:val="single" w:sz="8" w:space="0" w:color="007CC2" w:themeColor="accent1"/>
        </w:tcBorders>
        <w:shd w:val="clear" w:color="auto" w:fill="B0E2FF" w:themeFill="accent1" w:themeFillTint="3F"/>
      </w:tcPr>
    </w:tblStylePr>
    <w:tblStylePr w:type="band2Horz">
      <w:tblPr/>
      <w:tcPr>
        <w:tcBorders>
          <w:top w:val="single" w:sz="8" w:space="0" w:color="007CC2" w:themeColor="accent1"/>
          <w:left w:val="single" w:sz="8" w:space="0" w:color="007CC2" w:themeColor="accent1"/>
          <w:bottom w:val="single" w:sz="8" w:space="0" w:color="007CC2" w:themeColor="accent1"/>
          <w:right w:val="single" w:sz="8" w:space="0" w:color="007CC2" w:themeColor="accent1"/>
          <w:insideV w:val="single" w:sz="8" w:space="0" w:color="007CC2" w:themeColor="accent1"/>
        </w:tcBorders>
      </w:tcPr>
    </w:tblStylePr>
  </w:style>
  <w:style w:type="table" w:styleId="LightGrid-Accent5">
    <w:name w:val="Light Grid Accent 5"/>
    <w:basedOn w:val="TableNormal"/>
    <w:uiPriority w:val="62"/>
    <w:rsid w:val="00164BE1"/>
    <w:rPr>
      <w:rFonts w:ascii="Times New Roman" w:eastAsia="Times New Roman" w:hAnsi="Times New Roman" w:cs="Times New Roman"/>
      <w:sz w:val="20"/>
      <w:szCs w:val="20"/>
      <w:lang w:val="en-AU" w:eastAsia="en-AU"/>
    </w:rPr>
    <w:tblPr>
      <w:tblStyleRowBandSize w:val="1"/>
      <w:tblStyleColBandSize w:val="1"/>
      <w:tblBorders>
        <w:top w:val="single" w:sz="8" w:space="0" w:color="CF270A" w:themeColor="accent5"/>
        <w:left w:val="single" w:sz="8" w:space="0" w:color="CF270A" w:themeColor="accent5"/>
        <w:bottom w:val="single" w:sz="8" w:space="0" w:color="CF270A" w:themeColor="accent5"/>
        <w:right w:val="single" w:sz="8" w:space="0" w:color="CF270A" w:themeColor="accent5"/>
        <w:insideH w:val="single" w:sz="8" w:space="0" w:color="CF270A" w:themeColor="accent5"/>
        <w:insideV w:val="single" w:sz="8" w:space="0" w:color="CF27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F270A" w:themeColor="accent5"/>
          <w:left w:val="single" w:sz="8" w:space="0" w:color="CF270A" w:themeColor="accent5"/>
          <w:bottom w:val="single" w:sz="18" w:space="0" w:color="CF270A" w:themeColor="accent5"/>
          <w:right w:val="single" w:sz="8" w:space="0" w:color="CF270A" w:themeColor="accent5"/>
          <w:insideH w:val="nil"/>
          <w:insideV w:val="single" w:sz="8" w:space="0" w:color="CF27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270A" w:themeColor="accent5"/>
          <w:left w:val="single" w:sz="8" w:space="0" w:color="CF270A" w:themeColor="accent5"/>
          <w:bottom w:val="single" w:sz="8" w:space="0" w:color="CF270A" w:themeColor="accent5"/>
          <w:right w:val="single" w:sz="8" w:space="0" w:color="CF270A" w:themeColor="accent5"/>
          <w:insideH w:val="nil"/>
          <w:insideV w:val="single" w:sz="8" w:space="0" w:color="CF27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270A" w:themeColor="accent5"/>
          <w:left w:val="single" w:sz="8" w:space="0" w:color="CF270A" w:themeColor="accent5"/>
          <w:bottom w:val="single" w:sz="8" w:space="0" w:color="CF270A" w:themeColor="accent5"/>
          <w:right w:val="single" w:sz="8" w:space="0" w:color="CF270A" w:themeColor="accent5"/>
        </w:tcBorders>
      </w:tcPr>
    </w:tblStylePr>
    <w:tblStylePr w:type="band1Vert">
      <w:tblPr/>
      <w:tcPr>
        <w:tcBorders>
          <w:top w:val="single" w:sz="8" w:space="0" w:color="CF270A" w:themeColor="accent5"/>
          <w:left w:val="single" w:sz="8" w:space="0" w:color="CF270A" w:themeColor="accent5"/>
          <w:bottom w:val="single" w:sz="8" w:space="0" w:color="CF270A" w:themeColor="accent5"/>
          <w:right w:val="single" w:sz="8" w:space="0" w:color="CF270A" w:themeColor="accent5"/>
        </w:tcBorders>
        <w:shd w:val="clear" w:color="auto" w:fill="FBC3B9" w:themeFill="accent5" w:themeFillTint="3F"/>
      </w:tcPr>
    </w:tblStylePr>
    <w:tblStylePr w:type="band1Horz">
      <w:tblPr/>
      <w:tcPr>
        <w:tcBorders>
          <w:top w:val="single" w:sz="8" w:space="0" w:color="CF270A" w:themeColor="accent5"/>
          <w:left w:val="single" w:sz="8" w:space="0" w:color="CF270A" w:themeColor="accent5"/>
          <w:bottom w:val="single" w:sz="8" w:space="0" w:color="CF270A" w:themeColor="accent5"/>
          <w:right w:val="single" w:sz="8" w:space="0" w:color="CF270A" w:themeColor="accent5"/>
          <w:insideV w:val="single" w:sz="8" w:space="0" w:color="CF270A" w:themeColor="accent5"/>
        </w:tcBorders>
        <w:shd w:val="clear" w:color="auto" w:fill="FBC3B9" w:themeFill="accent5" w:themeFillTint="3F"/>
      </w:tcPr>
    </w:tblStylePr>
    <w:tblStylePr w:type="band2Horz">
      <w:tblPr/>
      <w:tcPr>
        <w:tcBorders>
          <w:top w:val="single" w:sz="8" w:space="0" w:color="CF270A" w:themeColor="accent5"/>
          <w:left w:val="single" w:sz="8" w:space="0" w:color="CF270A" w:themeColor="accent5"/>
          <w:bottom w:val="single" w:sz="8" w:space="0" w:color="CF270A" w:themeColor="accent5"/>
          <w:right w:val="single" w:sz="8" w:space="0" w:color="CF270A" w:themeColor="accent5"/>
          <w:insideV w:val="single" w:sz="8" w:space="0" w:color="CF270A" w:themeColor="accent5"/>
        </w:tcBorders>
      </w:tcPr>
    </w:tblStylePr>
  </w:style>
  <w:style w:type="table" w:styleId="GridTable1Light-Accent6">
    <w:name w:val="Grid Table 1 Light Accent 6"/>
    <w:basedOn w:val="TableNormal"/>
    <w:uiPriority w:val="46"/>
    <w:rsid w:val="00164BE1"/>
    <w:tblPr>
      <w:tblStyleRowBandSize w:val="1"/>
      <w:tblStyleColBandSize w:val="1"/>
      <w:tblBorders>
        <w:top w:val="single" w:sz="4" w:space="0" w:color="E0ECF8" w:themeColor="accent6" w:themeTint="66"/>
        <w:left w:val="single" w:sz="4" w:space="0" w:color="E0ECF8" w:themeColor="accent6" w:themeTint="66"/>
        <w:bottom w:val="single" w:sz="4" w:space="0" w:color="E0ECF8" w:themeColor="accent6" w:themeTint="66"/>
        <w:right w:val="single" w:sz="4" w:space="0" w:color="E0ECF8" w:themeColor="accent6" w:themeTint="66"/>
        <w:insideH w:val="single" w:sz="4" w:space="0" w:color="E0ECF8" w:themeColor="accent6" w:themeTint="66"/>
        <w:insideV w:val="single" w:sz="4" w:space="0" w:color="E0ECF8" w:themeColor="accent6" w:themeTint="66"/>
      </w:tblBorders>
    </w:tblPr>
    <w:tblStylePr w:type="firstRow">
      <w:rPr>
        <w:b/>
        <w:bCs/>
      </w:rPr>
      <w:tblPr/>
      <w:tcPr>
        <w:tcBorders>
          <w:bottom w:val="single" w:sz="12" w:space="0" w:color="D1E3F4" w:themeColor="accent6" w:themeTint="99"/>
        </w:tcBorders>
      </w:tcPr>
    </w:tblStylePr>
    <w:tblStylePr w:type="lastRow">
      <w:rPr>
        <w:b/>
        <w:bCs/>
      </w:rPr>
      <w:tblPr/>
      <w:tcPr>
        <w:tcBorders>
          <w:top w:val="double" w:sz="2" w:space="0" w:color="D1E3F4"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164BE1"/>
    <w:tblPr>
      <w:tblStyleRowBandSize w:val="1"/>
      <w:tblStyleColBandSize w:val="1"/>
      <w:tblBorders>
        <w:top w:val="single" w:sz="4" w:space="0" w:color="D1E3F4" w:themeColor="accent6" w:themeTint="99"/>
        <w:left w:val="single" w:sz="4" w:space="0" w:color="D1E3F4" w:themeColor="accent6" w:themeTint="99"/>
        <w:bottom w:val="single" w:sz="4" w:space="0" w:color="D1E3F4" w:themeColor="accent6" w:themeTint="99"/>
        <w:right w:val="single" w:sz="4" w:space="0" w:color="D1E3F4" w:themeColor="accent6" w:themeTint="99"/>
        <w:insideH w:val="single" w:sz="4" w:space="0" w:color="D1E3F4" w:themeColor="accent6" w:themeTint="99"/>
        <w:insideV w:val="single" w:sz="4" w:space="0" w:color="D1E3F4" w:themeColor="accent6" w:themeTint="99"/>
      </w:tblBorders>
    </w:tblPr>
    <w:tblStylePr w:type="firstRow">
      <w:rPr>
        <w:b/>
        <w:bCs/>
        <w:color w:val="FFFFFF" w:themeColor="background1"/>
      </w:rPr>
      <w:tblPr/>
      <w:tcPr>
        <w:tcBorders>
          <w:top w:val="single" w:sz="4" w:space="0" w:color="B4D1EE" w:themeColor="accent6"/>
          <w:left w:val="single" w:sz="4" w:space="0" w:color="B4D1EE" w:themeColor="accent6"/>
          <w:bottom w:val="single" w:sz="4" w:space="0" w:color="B4D1EE" w:themeColor="accent6"/>
          <w:right w:val="single" w:sz="4" w:space="0" w:color="B4D1EE" w:themeColor="accent6"/>
          <w:insideH w:val="nil"/>
          <w:insideV w:val="nil"/>
        </w:tcBorders>
        <w:shd w:val="clear" w:color="auto" w:fill="B4D1EE" w:themeFill="accent6"/>
      </w:tcPr>
    </w:tblStylePr>
    <w:tblStylePr w:type="lastRow">
      <w:rPr>
        <w:b/>
        <w:bCs/>
      </w:rPr>
      <w:tblPr/>
      <w:tcPr>
        <w:tcBorders>
          <w:top w:val="double" w:sz="4" w:space="0" w:color="B4D1EE" w:themeColor="accent6"/>
        </w:tcBorders>
      </w:tcPr>
    </w:tblStylePr>
    <w:tblStylePr w:type="firstCol">
      <w:rPr>
        <w:b/>
        <w:bCs/>
      </w:rPr>
    </w:tblStylePr>
    <w:tblStylePr w:type="lastCol">
      <w:rPr>
        <w:b/>
        <w:bCs/>
      </w:rPr>
    </w:tblStylePr>
    <w:tblStylePr w:type="band1Vert">
      <w:tblPr/>
      <w:tcPr>
        <w:shd w:val="clear" w:color="auto" w:fill="EFF5FB" w:themeFill="accent6" w:themeFillTint="33"/>
      </w:tcPr>
    </w:tblStylePr>
    <w:tblStylePr w:type="band1Horz">
      <w:tblPr/>
      <w:tcPr>
        <w:shd w:val="clear" w:color="auto" w:fill="EFF5FB" w:themeFill="accent6" w:themeFillTint="33"/>
      </w:tcPr>
    </w:tblStylePr>
  </w:style>
  <w:style w:type="character" w:styleId="CommentReference">
    <w:name w:val="annotation reference"/>
    <w:basedOn w:val="DefaultParagraphFont"/>
    <w:uiPriority w:val="99"/>
    <w:semiHidden/>
    <w:unhideWhenUsed/>
    <w:rsid w:val="00471A57"/>
    <w:rPr>
      <w:sz w:val="16"/>
      <w:szCs w:val="16"/>
    </w:rPr>
  </w:style>
  <w:style w:type="paragraph" w:styleId="CommentText">
    <w:name w:val="annotation text"/>
    <w:basedOn w:val="Normal"/>
    <w:link w:val="CommentTextChar"/>
    <w:uiPriority w:val="99"/>
    <w:semiHidden/>
    <w:unhideWhenUsed/>
    <w:rsid w:val="00471A57"/>
    <w:pPr>
      <w:spacing w:line="240" w:lineRule="auto"/>
    </w:pPr>
    <w:rPr>
      <w:sz w:val="20"/>
      <w:szCs w:val="20"/>
    </w:rPr>
  </w:style>
  <w:style w:type="character" w:customStyle="1" w:styleId="CommentTextChar">
    <w:name w:val="Comment Text Char"/>
    <w:basedOn w:val="DefaultParagraphFont"/>
    <w:link w:val="CommentText"/>
    <w:uiPriority w:val="99"/>
    <w:semiHidden/>
    <w:rsid w:val="00471A57"/>
    <w:rPr>
      <w:rFonts w:ascii="Arial" w:eastAsiaTheme="minorHAns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71A57"/>
    <w:rPr>
      <w:b/>
      <w:bCs/>
    </w:rPr>
  </w:style>
  <w:style w:type="character" w:customStyle="1" w:styleId="CommentSubjectChar">
    <w:name w:val="Comment Subject Char"/>
    <w:basedOn w:val="CommentTextChar"/>
    <w:link w:val="CommentSubject"/>
    <w:uiPriority w:val="99"/>
    <w:semiHidden/>
    <w:rsid w:val="00471A57"/>
    <w:rPr>
      <w:rFonts w:ascii="Arial" w:eastAsiaTheme="minorHAnsi" w:hAnsi="Arial" w:cs="Arial"/>
      <w:b/>
      <w:bCs/>
      <w:sz w:val="20"/>
      <w:szCs w:val="20"/>
      <w:lang w:val="en-AU"/>
    </w:rPr>
  </w:style>
  <w:style w:type="numbering" w:styleId="1ai">
    <w:name w:val="Outline List 1"/>
    <w:basedOn w:val="NoList"/>
    <w:rsid w:val="00D847DB"/>
    <w:pPr>
      <w:numPr>
        <w:numId w:val="22"/>
      </w:numPr>
    </w:pPr>
  </w:style>
  <w:style w:type="paragraph" w:customStyle="1" w:styleId="TableTextBullet2">
    <w:name w:val="Table Text Bullet 2"/>
    <w:basedOn w:val="TableTextBullet"/>
    <w:qFormat/>
    <w:rsid w:val="00D847DB"/>
    <w:pPr>
      <w:numPr>
        <w:ilvl w:val="1"/>
      </w:numPr>
    </w:pPr>
    <w:rPr>
      <w:bCs/>
    </w:rPr>
  </w:style>
  <w:style w:type="paragraph" w:customStyle="1" w:styleId="TableTextBullet3">
    <w:name w:val="Table Text Bullet 3"/>
    <w:basedOn w:val="TableTextBullet2"/>
    <w:qFormat/>
    <w:rsid w:val="00D847DB"/>
    <w:pPr>
      <w:numPr>
        <w:ilvl w:val="2"/>
      </w:numPr>
    </w:pPr>
    <w:rPr>
      <w:bCs w:val="0"/>
    </w:rPr>
  </w:style>
  <w:style w:type="paragraph" w:customStyle="1" w:styleId="TableTextLeft">
    <w:name w:val="Table Text Left"/>
    <w:basedOn w:val="Normal"/>
    <w:qFormat/>
    <w:rsid w:val="00D847DB"/>
    <w:pPr>
      <w:spacing w:before="60" w:after="60" w:line="220" w:lineRule="atLeast"/>
      <w:ind w:left="113" w:right="113"/>
    </w:pPr>
    <w:rPr>
      <w:rFonts w:asciiTheme="minorHAnsi" w:eastAsia="Times New Roman" w:hAnsiTheme="minorHAnsi"/>
      <w:color w:val="424242" w:themeColor="text1"/>
      <w:szCs w:val="20"/>
      <w:lang w:eastAsia="en-AU"/>
    </w:rPr>
  </w:style>
  <w:style w:type="paragraph" w:customStyle="1" w:styleId="TableTextBullet">
    <w:name w:val="Table Text Bullet"/>
    <w:basedOn w:val="TableTextLeft"/>
    <w:qFormat/>
    <w:rsid w:val="00D847D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1521">
      <w:bodyDiv w:val="1"/>
      <w:marLeft w:val="0"/>
      <w:marRight w:val="0"/>
      <w:marTop w:val="0"/>
      <w:marBottom w:val="0"/>
      <w:divBdr>
        <w:top w:val="none" w:sz="0" w:space="0" w:color="auto"/>
        <w:left w:val="none" w:sz="0" w:space="0" w:color="auto"/>
        <w:bottom w:val="none" w:sz="0" w:space="0" w:color="auto"/>
        <w:right w:val="none" w:sz="0" w:space="0" w:color="auto"/>
      </w:divBdr>
    </w:div>
    <w:div w:id="350762401">
      <w:bodyDiv w:val="1"/>
      <w:marLeft w:val="0"/>
      <w:marRight w:val="0"/>
      <w:marTop w:val="0"/>
      <w:marBottom w:val="0"/>
      <w:divBdr>
        <w:top w:val="none" w:sz="0" w:space="0" w:color="auto"/>
        <w:left w:val="none" w:sz="0" w:space="0" w:color="auto"/>
        <w:bottom w:val="none" w:sz="0" w:space="0" w:color="auto"/>
        <w:right w:val="none" w:sz="0" w:space="0" w:color="auto"/>
      </w:divBdr>
    </w:div>
    <w:div w:id="672759016">
      <w:bodyDiv w:val="1"/>
      <w:marLeft w:val="0"/>
      <w:marRight w:val="0"/>
      <w:marTop w:val="0"/>
      <w:marBottom w:val="0"/>
      <w:divBdr>
        <w:top w:val="none" w:sz="0" w:space="0" w:color="auto"/>
        <w:left w:val="none" w:sz="0" w:space="0" w:color="auto"/>
        <w:bottom w:val="none" w:sz="0" w:space="0" w:color="auto"/>
        <w:right w:val="none" w:sz="0" w:space="0" w:color="auto"/>
      </w:divBdr>
    </w:div>
    <w:div w:id="921917786">
      <w:bodyDiv w:val="1"/>
      <w:marLeft w:val="0"/>
      <w:marRight w:val="0"/>
      <w:marTop w:val="0"/>
      <w:marBottom w:val="0"/>
      <w:divBdr>
        <w:top w:val="none" w:sz="0" w:space="0" w:color="auto"/>
        <w:left w:val="none" w:sz="0" w:space="0" w:color="auto"/>
        <w:bottom w:val="none" w:sz="0" w:space="0" w:color="auto"/>
        <w:right w:val="none" w:sz="0" w:space="0" w:color="auto"/>
      </w:divBdr>
      <w:divsChild>
        <w:div w:id="56712123">
          <w:marLeft w:val="0"/>
          <w:marRight w:val="0"/>
          <w:marTop w:val="0"/>
          <w:marBottom w:val="0"/>
          <w:divBdr>
            <w:top w:val="none" w:sz="0" w:space="0" w:color="auto"/>
            <w:left w:val="none" w:sz="0" w:space="0" w:color="auto"/>
            <w:bottom w:val="none" w:sz="0" w:space="0" w:color="auto"/>
            <w:right w:val="none" w:sz="0" w:space="0" w:color="auto"/>
          </w:divBdr>
          <w:divsChild>
            <w:div w:id="325013676">
              <w:marLeft w:val="0"/>
              <w:marRight w:val="0"/>
              <w:marTop w:val="0"/>
              <w:marBottom w:val="0"/>
              <w:divBdr>
                <w:top w:val="none" w:sz="0" w:space="0" w:color="auto"/>
                <w:left w:val="none" w:sz="0" w:space="0" w:color="auto"/>
                <w:bottom w:val="none" w:sz="0" w:space="0" w:color="auto"/>
                <w:right w:val="none" w:sz="0" w:space="0" w:color="auto"/>
              </w:divBdr>
              <w:divsChild>
                <w:div w:id="1028409540">
                  <w:marLeft w:val="0"/>
                  <w:marRight w:val="0"/>
                  <w:marTop w:val="0"/>
                  <w:marBottom w:val="0"/>
                  <w:divBdr>
                    <w:top w:val="none" w:sz="0" w:space="0" w:color="auto"/>
                    <w:left w:val="none" w:sz="0" w:space="0" w:color="auto"/>
                    <w:bottom w:val="none" w:sz="0" w:space="0" w:color="auto"/>
                    <w:right w:val="none" w:sz="0" w:space="0" w:color="auto"/>
                  </w:divBdr>
                  <w:divsChild>
                    <w:div w:id="2545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04769">
      <w:marLeft w:val="0"/>
      <w:marRight w:val="0"/>
      <w:marTop w:val="0"/>
      <w:marBottom w:val="0"/>
      <w:divBdr>
        <w:top w:val="none" w:sz="0" w:space="0" w:color="auto"/>
        <w:left w:val="none" w:sz="0" w:space="0" w:color="auto"/>
        <w:bottom w:val="none" w:sz="0" w:space="0" w:color="auto"/>
        <w:right w:val="none" w:sz="0" w:space="0" w:color="auto"/>
      </w:divBdr>
    </w:div>
    <w:div w:id="1110392986">
      <w:bodyDiv w:val="1"/>
      <w:marLeft w:val="0"/>
      <w:marRight w:val="0"/>
      <w:marTop w:val="0"/>
      <w:marBottom w:val="0"/>
      <w:divBdr>
        <w:top w:val="none" w:sz="0" w:space="0" w:color="auto"/>
        <w:left w:val="none" w:sz="0" w:space="0" w:color="auto"/>
        <w:bottom w:val="none" w:sz="0" w:space="0" w:color="auto"/>
        <w:right w:val="none" w:sz="0" w:space="0" w:color="auto"/>
      </w:divBdr>
    </w:div>
    <w:div w:id="1495413486">
      <w:bodyDiv w:val="1"/>
      <w:marLeft w:val="0"/>
      <w:marRight w:val="0"/>
      <w:marTop w:val="0"/>
      <w:marBottom w:val="0"/>
      <w:divBdr>
        <w:top w:val="none" w:sz="0" w:space="0" w:color="auto"/>
        <w:left w:val="none" w:sz="0" w:space="0" w:color="auto"/>
        <w:bottom w:val="none" w:sz="0" w:space="0" w:color="auto"/>
        <w:right w:val="none" w:sz="0" w:space="0" w:color="auto"/>
      </w:divBdr>
    </w:div>
    <w:div w:id="1928535683">
      <w:bodyDiv w:val="1"/>
      <w:marLeft w:val="0"/>
      <w:marRight w:val="0"/>
      <w:marTop w:val="0"/>
      <w:marBottom w:val="0"/>
      <w:divBdr>
        <w:top w:val="none" w:sz="0" w:space="0" w:color="auto"/>
        <w:left w:val="none" w:sz="0" w:space="0" w:color="auto"/>
        <w:bottom w:val="none" w:sz="0" w:space="0" w:color="auto"/>
        <w:right w:val="none" w:sz="0" w:space="0" w:color="auto"/>
      </w:divBdr>
      <w:divsChild>
        <w:div w:id="960109174">
          <w:marLeft w:val="547"/>
          <w:marRight w:val="0"/>
          <w:marTop w:val="0"/>
          <w:marBottom w:val="0"/>
          <w:divBdr>
            <w:top w:val="none" w:sz="0" w:space="0" w:color="auto"/>
            <w:left w:val="none" w:sz="0" w:space="0" w:color="auto"/>
            <w:bottom w:val="none" w:sz="0" w:space="0" w:color="auto"/>
            <w:right w:val="none" w:sz="0" w:space="0" w:color="auto"/>
          </w:divBdr>
        </w:div>
        <w:div w:id="1271815504">
          <w:marLeft w:val="1166"/>
          <w:marRight w:val="0"/>
          <w:marTop w:val="0"/>
          <w:marBottom w:val="0"/>
          <w:divBdr>
            <w:top w:val="none" w:sz="0" w:space="0" w:color="auto"/>
            <w:left w:val="none" w:sz="0" w:space="0" w:color="auto"/>
            <w:bottom w:val="none" w:sz="0" w:space="0" w:color="auto"/>
            <w:right w:val="none" w:sz="0" w:space="0" w:color="auto"/>
          </w:divBdr>
        </w:div>
        <w:div w:id="119108094">
          <w:marLeft w:val="547"/>
          <w:marRight w:val="0"/>
          <w:marTop w:val="0"/>
          <w:marBottom w:val="0"/>
          <w:divBdr>
            <w:top w:val="none" w:sz="0" w:space="0" w:color="auto"/>
            <w:left w:val="none" w:sz="0" w:space="0" w:color="auto"/>
            <w:bottom w:val="none" w:sz="0" w:space="0" w:color="auto"/>
            <w:right w:val="none" w:sz="0" w:space="0" w:color="auto"/>
          </w:divBdr>
        </w:div>
        <w:div w:id="1904365017">
          <w:marLeft w:val="1166"/>
          <w:marRight w:val="0"/>
          <w:marTop w:val="0"/>
          <w:marBottom w:val="0"/>
          <w:divBdr>
            <w:top w:val="none" w:sz="0" w:space="0" w:color="auto"/>
            <w:left w:val="none" w:sz="0" w:space="0" w:color="auto"/>
            <w:bottom w:val="none" w:sz="0" w:space="0" w:color="auto"/>
            <w:right w:val="none" w:sz="0" w:space="0" w:color="auto"/>
          </w:divBdr>
        </w:div>
        <w:div w:id="1685551365">
          <w:marLeft w:val="547"/>
          <w:marRight w:val="0"/>
          <w:marTop w:val="0"/>
          <w:marBottom w:val="0"/>
          <w:divBdr>
            <w:top w:val="none" w:sz="0" w:space="0" w:color="auto"/>
            <w:left w:val="none" w:sz="0" w:space="0" w:color="auto"/>
            <w:bottom w:val="none" w:sz="0" w:space="0" w:color="auto"/>
            <w:right w:val="none" w:sz="0" w:space="0" w:color="auto"/>
          </w:divBdr>
        </w:div>
        <w:div w:id="1156218613">
          <w:marLeft w:val="1166"/>
          <w:marRight w:val="0"/>
          <w:marTop w:val="0"/>
          <w:marBottom w:val="0"/>
          <w:divBdr>
            <w:top w:val="none" w:sz="0" w:space="0" w:color="auto"/>
            <w:left w:val="none" w:sz="0" w:space="0" w:color="auto"/>
            <w:bottom w:val="none" w:sz="0" w:space="0" w:color="auto"/>
            <w:right w:val="none" w:sz="0" w:space="0" w:color="auto"/>
          </w:divBdr>
        </w:div>
        <w:div w:id="2045641694">
          <w:marLeft w:val="547"/>
          <w:marRight w:val="0"/>
          <w:marTop w:val="0"/>
          <w:marBottom w:val="0"/>
          <w:divBdr>
            <w:top w:val="none" w:sz="0" w:space="0" w:color="auto"/>
            <w:left w:val="none" w:sz="0" w:space="0" w:color="auto"/>
            <w:bottom w:val="none" w:sz="0" w:space="0" w:color="auto"/>
            <w:right w:val="none" w:sz="0" w:space="0" w:color="auto"/>
          </w:divBdr>
        </w:div>
        <w:div w:id="577792402">
          <w:marLeft w:val="1166"/>
          <w:marRight w:val="0"/>
          <w:marTop w:val="0"/>
          <w:marBottom w:val="0"/>
          <w:divBdr>
            <w:top w:val="none" w:sz="0" w:space="0" w:color="auto"/>
            <w:left w:val="none" w:sz="0" w:space="0" w:color="auto"/>
            <w:bottom w:val="none" w:sz="0" w:space="0" w:color="auto"/>
            <w:right w:val="none" w:sz="0" w:space="0" w:color="auto"/>
          </w:divBdr>
        </w:div>
        <w:div w:id="2004383870">
          <w:marLeft w:val="547"/>
          <w:marRight w:val="0"/>
          <w:marTop w:val="0"/>
          <w:marBottom w:val="0"/>
          <w:divBdr>
            <w:top w:val="none" w:sz="0" w:space="0" w:color="auto"/>
            <w:left w:val="none" w:sz="0" w:space="0" w:color="auto"/>
            <w:bottom w:val="none" w:sz="0" w:space="0" w:color="auto"/>
            <w:right w:val="none" w:sz="0" w:space="0" w:color="auto"/>
          </w:divBdr>
        </w:div>
        <w:div w:id="1949123010">
          <w:marLeft w:val="1166"/>
          <w:marRight w:val="0"/>
          <w:marTop w:val="0"/>
          <w:marBottom w:val="0"/>
          <w:divBdr>
            <w:top w:val="none" w:sz="0" w:space="0" w:color="auto"/>
            <w:left w:val="none" w:sz="0" w:space="0" w:color="auto"/>
            <w:bottom w:val="none" w:sz="0" w:space="0" w:color="auto"/>
            <w:right w:val="none" w:sz="0" w:space="0" w:color="auto"/>
          </w:divBdr>
        </w:div>
        <w:div w:id="775565541">
          <w:marLeft w:val="547"/>
          <w:marRight w:val="0"/>
          <w:marTop w:val="0"/>
          <w:marBottom w:val="0"/>
          <w:divBdr>
            <w:top w:val="none" w:sz="0" w:space="0" w:color="auto"/>
            <w:left w:val="none" w:sz="0" w:space="0" w:color="auto"/>
            <w:bottom w:val="none" w:sz="0" w:space="0" w:color="auto"/>
            <w:right w:val="none" w:sz="0" w:space="0" w:color="auto"/>
          </w:divBdr>
        </w:div>
        <w:div w:id="1269779259">
          <w:marLeft w:val="1166"/>
          <w:marRight w:val="0"/>
          <w:marTop w:val="0"/>
          <w:marBottom w:val="0"/>
          <w:divBdr>
            <w:top w:val="none" w:sz="0" w:space="0" w:color="auto"/>
            <w:left w:val="none" w:sz="0" w:space="0" w:color="auto"/>
            <w:bottom w:val="none" w:sz="0" w:space="0" w:color="auto"/>
            <w:right w:val="none" w:sz="0" w:space="0" w:color="auto"/>
          </w:divBdr>
        </w:div>
        <w:div w:id="1787191959">
          <w:marLeft w:val="547"/>
          <w:marRight w:val="0"/>
          <w:marTop w:val="0"/>
          <w:marBottom w:val="0"/>
          <w:divBdr>
            <w:top w:val="none" w:sz="0" w:space="0" w:color="auto"/>
            <w:left w:val="none" w:sz="0" w:space="0" w:color="auto"/>
            <w:bottom w:val="none" w:sz="0" w:space="0" w:color="auto"/>
            <w:right w:val="none" w:sz="0" w:space="0" w:color="auto"/>
          </w:divBdr>
        </w:div>
        <w:div w:id="830682909">
          <w:marLeft w:val="1166"/>
          <w:marRight w:val="0"/>
          <w:marTop w:val="0"/>
          <w:marBottom w:val="0"/>
          <w:divBdr>
            <w:top w:val="none" w:sz="0" w:space="0" w:color="auto"/>
            <w:left w:val="none" w:sz="0" w:space="0" w:color="auto"/>
            <w:bottom w:val="none" w:sz="0" w:space="0" w:color="auto"/>
            <w:right w:val="none" w:sz="0" w:space="0" w:color="auto"/>
          </w:divBdr>
        </w:div>
      </w:divsChild>
    </w:div>
    <w:div w:id="1989624933">
      <w:bodyDiv w:val="1"/>
      <w:marLeft w:val="0"/>
      <w:marRight w:val="0"/>
      <w:marTop w:val="0"/>
      <w:marBottom w:val="0"/>
      <w:divBdr>
        <w:top w:val="none" w:sz="0" w:space="0" w:color="auto"/>
        <w:left w:val="none" w:sz="0" w:space="0" w:color="auto"/>
        <w:bottom w:val="none" w:sz="0" w:space="0" w:color="auto"/>
        <w:right w:val="none" w:sz="0" w:space="0" w:color="auto"/>
      </w:divBdr>
      <w:divsChild>
        <w:div w:id="805709052">
          <w:marLeft w:val="547"/>
          <w:marRight w:val="0"/>
          <w:marTop w:val="0"/>
          <w:marBottom w:val="0"/>
          <w:divBdr>
            <w:top w:val="none" w:sz="0" w:space="0" w:color="auto"/>
            <w:left w:val="none" w:sz="0" w:space="0" w:color="auto"/>
            <w:bottom w:val="none" w:sz="0" w:space="0" w:color="auto"/>
            <w:right w:val="none" w:sz="0" w:space="0" w:color="auto"/>
          </w:divBdr>
        </w:div>
        <w:div w:id="991255698">
          <w:marLeft w:val="1166"/>
          <w:marRight w:val="0"/>
          <w:marTop w:val="0"/>
          <w:marBottom w:val="0"/>
          <w:divBdr>
            <w:top w:val="none" w:sz="0" w:space="0" w:color="auto"/>
            <w:left w:val="none" w:sz="0" w:space="0" w:color="auto"/>
            <w:bottom w:val="none" w:sz="0" w:space="0" w:color="auto"/>
            <w:right w:val="none" w:sz="0" w:space="0" w:color="auto"/>
          </w:divBdr>
        </w:div>
        <w:div w:id="1211530307">
          <w:marLeft w:val="547"/>
          <w:marRight w:val="0"/>
          <w:marTop w:val="0"/>
          <w:marBottom w:val="0"/>
          <w:divBdr>
            <w:top w:val="none" w:sz="0" w:space="0" w:color="auto"/>
            <w:left w:val="none" w:sz="0" w:space="0" w:color="auto"/>
            <w:bottom w:val="none" w:sz="0" w:space="0" w:color="auto"/>
            <w:right w:val="none" w:sz="0" w:space="0" w:color="auto"/>
          </w:divBdr>
        </w:div>
        <w:div w:id="1569150347">
          <w:marLeft w:val="1166"/>
          <w:marRight w:val="0"/>
          <w:marTop w:val="0"/>
          <w:marBottom w:val="0"/>
          <w:divBdr>
            <w:top w:val="none" w:sz="0" w:space="0" w:color="auto"/>
            <w:left w:val="none" w:sz="0" w:space="0" w:color="auto"/>
            <w:bottom w:val="none" w:sz="0" w:space="0" w:color="auto"/>
            <w:right w:val="none" w:sz="0" w:space="0" w:color="auto"/>
          </w:divBdr>
        </w:div>
        <w:div w:id="1650133358">
          <w:marLeft w:val="547"/>
          <w:marRight w:val="0"/>
          <w:marTop w:val="0"/>
          <w:marBottom w:val="0"/>
          <w:divBdr>
            <w:top w:val="none" w:sz="0" w:space="0" w:color="auto"/>
            <w:left w:val="none" w:sz="0" w:space="0" w:color="auto"/>
            <w:bottom w:val="none" w:sz="0" w:space="0" w:color="auto"/>
            <w:right w:val="none" w:sz="0" w:space="0" w:color="auto"/>
          </w:divBdr>
        </w:div>
        <w:div w:id="142016663">
          <w:marLeft w:val="1166"/>
          <w:marRight w:val="0"/>
          <w:marTop w:val="0"/>
          <w:marBottom w:val="0"/>
          <w:divBdr>
            <w:top w:val="none" w:sz="0" w:space="0" w:color="auto"/>
            <w:left w:val="none" w:sz="0" w:space="0" w:color="auto"/>
            <w:bottom w:val="none" w:sz="0" w:space="0" w:color="auto"/>
            <w:right w:val="none" w:sz="0" w:space="0" w:color="auto"/>
          </w:divBdr>
        </w:div>
        <w:div w:id="8266464">
          <w:marLeft w:val="547"/>
          <w:marRight w:val="0"/>
          <w:marTop w:val="0"/>
          <w:marBottom w:val="0"/>
          <w:divBdr>
            <w:top w:val="none" w:sz="0" w:space="0" w:color="auto"/>
            <w:left w:val="none" w:sz="0" w:space="0" w:color="auto"/>
            <w:bottom w:val="none" w:sz="0" w:space="0" w:color="auto"/>
            <w:right w:val="none" w:sz="0" w:space="0" w:color="auto"/>
          </w:divBdr>
        </w:div>
        <w:div w:id="1213468652">
          <w:marLeft w:val="1166"/>
          <w:marRight w:val="0"/>
          <w:marTop w:val="0"/>
          <w:marBottom w:val="0"/>
          <w:divBdr>
            <w:top w:val="none" w:sz="0" w:space="0" w:color="auto"/>
            <w:left w:val="none" w:sz="0" w:space="0" w:color="auto"/>
            <w:bottom w:val="none" w:sz="0" w:space="0" w:color="auto"/>
            <w:right w:val="none" w:sz="0" w:space="0" w:color="auto"/>
          </w:divBdr>
        </w:div>
        <w:div w:id="1723872007">
          <w:marLeft w:val="547"/>
          <w:marRight w:val="0"/>
          <w:marTop w:val="0"/>
          <w:marBottom w:val="0"/>
          <w:divBdr>
            <w:top w:val="none" w:sz="0" w:space="0" w:color="auto"/>
            <w:left w:val="none" w:sz="0" w:space="0" w:color="auto"/>
            <w:bottom w:val="none" w:sz="0" w:space="0" w:color="auto"/>
            <w:right w:val="none" w:sz="0" w:space="0" w:color="auto"/>
          </w:divBdr>
        </w:div>
        <w:div w:id="1471943723">
          <w:marLeft w:val="1166"/>
          <w:marRight w:val="0"/>
          <w:marTop w:val="0"/>
          <w:marBottom w:val="0"/>
          <w:divBdr>
            <w:top w:val="none" w:sz="0" w:space="0" w:color="auto"/>
            <w:left w:val="none" w:sz="0" w:space="0" w:color="auto"/>
            <w:bottom w:val="none" w:sz="0" w:space="0" w:color="auto"/>
            <w:right w:val="none" w:sz="0" w:space="0" w:color="auto"/>
          </w:divBdr>
        </w:div>
        <w:div w:id="2055501048">
          <w:marLeft w:val="547"/>
          <w:marRight w:val="0"/>
          <w:marTop w:val="0"/>
          <w:marBottom w:val="0"/>
          <w:divBdr>
            <w:top w:val="none" w:sz="0" w:space="0" w:color="auto"/>
            <w:left w:val="none" w:sz="0" w:space="0" w:color="auto"/>
            <w:bottom w:val="none" w:sz="0" w:space="0" w:color="auto"/>
            <w:right w:val="none" w:sz="0" w:space="0" w:color="auto"/>
          </w:divBdr>
        </w:div>
        <w:div w:id="392122166">
          <w:marLeft w:val="1166"/>
          <w:marRight w:val="0"/>
          <w:marTop w:val="0"/>
          <w:marBottom w:val="0"/>
          <w:divBdr>
            <w:top w:val="none" w:sz="0" w:space="0" w:color="auto"/>
            <w:left w:val="none" w:sz="0" w:space="0" w:color="auto"/>
            <w:bottom w:val="none" w:sz="0" w:space="0" w:color="auto"/>
            <w:right w:val="none" w:sz="0" w:space="0" w:color="auto"/>
          </w:divBdr>
        </w:div>
        <w:div w:id="995766361">
          <w:marLeft w:val="547"/>
          <w:marRight w:val="0"/>
          <w:marTop w:val="0"/>
          <w:marBottom w:val="0"/>
          <w:divBdr>
            <w:top w:val="none" w:sz="0" w:space="0" w:color="auto"/>
            <w:left w:val="none" w:sz="0" w:space="0" w:color="auto"/>
            <w:bottom w:val="none" w:sz="0" w:space="0" w:color="auto"/>
            <w:right w:val="none" w:sz="0" w:space="0" w:color="auto"/>
          </w:divBdr>
        </w:div>
        <w:div w:id="188179963">
          <w:marLeft w:val="1166"/>
          <w:marRight w:val="0"/>
          <w:marTop w:val="0"/>
          <w:marBottom w:val="0"/>
          <w:divBdr>
            <w:top w:val="none" w:sz="0" w:space="0" w:color="auto"/>
            <w:left w:val="none" w:sz="0" w:space="0" w:color="auto"/>
            <w:bottom w:val="none" w:sz="0" w:space="0" w:color="auto"/>
            <w:right w:val="none" w:sz="0" w:space="0" w:color="auto"/>
          </w:divBdr>
        </w:div>
      </w:divsChild>
    </w:div>
    <w:div w:id="1990863088">
      <w:bodyDiv w:val="1"/>
      <w:marLeft w:val="0"/>
      <w:marRight w:val="0"/>
      <w:marTop w:val="0"/>
      <w:marBottom w:val="0"/>
      <w:divBdr>
        <w:top w:val="none" w:sz="0" w:space="0" w:color="auto"/>
        <w:left w:val="none" w:sz="0" w:space="0" w:color="auto"/>
        <w:bottom w:val="none" w:sz="0" w:space="0" w:color="auto"/>
        <w:right w:val="none" w:sz="0" w:space="0" w:color="auto"/>
      </w:divBdr>
      <w:divsChild>
        <w:div w:id="114834267">
          <w:marLeft w:val="547"/>
          <w:marRight w:val="0"/>
          <w:marTop w:val="0"/>
          <w:marBottom w:val="0"/>
          <w:divBdr>
            <w:top w:val="none" w:sz="0" w:space="0" w:color="auto"/>
            <w:left w:val="none" w:sz="0" w:space="0" w:color="auto"/>
            <w:bottom w:val="none" w:sz="0" w:space="0" w:color="auto"/>
            <w:right w:val="none" w:sz="0" w:space="0" w:color="auto"/>
          </w:divBdr>
        </w:div>
        <w:div w:id="1497187636">
          <w:marLeft w:val="1166"/>
          <w:marRight w:val="0"/>
          <w:marTop w:val="0"/>
          <w:marBottom w:val="0"/>
          <w:divBdr>
            <w:top w:val="none" w:sz="0" w:space="0" w:color="auto"/>
            <w:left w:val="none" w:sz="0" w:space="0" w:color="auto"/>
            <w:bottom w:val="none" w:sz="0" w:space="0" w:color="auto"/>
            <w:right w:val="none" w:sz="0" w:space="0" w:color="auto"/>
          </w:divBdr>
        </w:div>
        <w:div w:id="1484658316">
          <w:marLeft w:val="1166"/>
          <w:marRight w:val="0"/>
          <w:marTop w:val="0"/>
          <w:marBottom w:val="0"/>
          <w:divBdr>
            <w:top w:val="none" w:sz="0" w:space="0" w:color="auto"/>
            <w:left w:val="none" w:sz="0" w:space="0" w:color="auto"/>
            <w:bottom w:val="none" w:sz="0" w:space="0" w:color="auto"/>
            <w:right w:val="none" w:sz="0" w:space="0" w:color="auto"/>
          </w:divBdr>
        </w:div>
      </w:divsChild>
    </w:div>
    <w:div w:id="2012903334">
      <w:bodyDiv w:val="1"/>
      <w:marLeft w:val="0"/>
      <w:marRight w:val="0"/>
      <w:marTop w:val="0"/>
      <w:marBottom w:val="0"/>
      <w:divBdr>
        <w:top w:val="none" w:sz="0" w:space="0" w:color="auto"/>
        <w:left w:val="none" w:sz="0" w:space="0" w:color="auto"/>
        <w:bottom w:val="none" w:sz="0" w:space="0" w:color="auto"/>
        <w:right w:val="none" w:sz="0" w:space="0" w:color="auto"/>
      </w:divBdr>
      <w:divsChild>
        <w:div w:id="1892571695">
          <w:marLeft w:val="547"/>
          <w:marRight w:val="0"/>
          <w:marTop w:val="0"/>
          <w:marBottom w:val="0"/>
          <w:divBdr>
            <w:top w:val="none" w:sz="0" w:space="0" w:color="auto"/>
            <w:left w:val="none" w:sz="0" w:space="0" w:color="auto"/>
            <w:bottom w:val="none" w:sz="0" w:space="0" w:color="auto"/>
            <w:right w:val="none" w:sz="0" w:space="0" w:color="auto"/>
          </w:divBdr>
        </w:div>
        <w:div w:id="1121534925">
          <w:marLeft w:val="1166"/>
          <w:marRight w:val="0"/>
          <w:marTop w:val="0"/>
          <w:marBottom w:val="0"/>
          <w:divBdr>
            <w:top w:val="none" w:sz="0" w:space="0" w:color="auto"/>
            <w:left w:val="none" w:sz="0" w:space="0" w:color="auto"/>
            <w:bottom w:val="none" w:sz="0" w:space="0" w:color="auto"/>
            <w:right w:val="none" w:sz="0" w:space="0" w:color="auto"/>
          </w:divBdr>
        </w:div>
        <w:div w:id="664627186">
          <w:marLeft w:val="547"/>
          <w:marRight w:val="0"/>
          <w:marTop w:val="0"/>
          <w:marBottom w:val="0"/>
          <w:divBdr>
            <w:top w:val="none" w:sz="0" w:space="0" w:color="auto"/>
            <w:left w:val="none" w:sz="0" w:space="0" w:color="auto"/>
            <w:bottom w:val="none" w:sz="0" w:space="0" w:color="auto"/>
            <w:right w:val="none" w:sz="0" w:space="0" w:color="auto"/>
          </w:divBdr>
        </w:div>
        <w:div w:id="630095347">
          <w:marLeft w:val="1166"/>
          <w:marRight w:val="0"/>
          <w:marTop w:val="0"/>
          <w:marBottom w:val="0"/>
          <w:divBdr>
            <w:top w:val="none" w:sz="0" w:space="0" w:color="auto"/>
            <w:left w:val="none" w:sz="0" w:space="0" w:color="auto"/>
            <w:bottom w:val="none" w:sz="0" w:space="0" w:color="auto"/>
            <w:right w:val="none" w:sz="0" w:space="0" w:color="auto"/>
          </w:divBdr>
        </w:div>
        <w:div w:id="1763602796">
          <w:marLeft w:val="547"/>
          <w:marRight w:val="0"/>
          <w:marTop w:val="0"/>
          <w:marBottom w:val="0"/>
          <w:divBdr>
            <w:top w:val="none" w:sz="0" w:space="0" w:color="auto"/>
            <w:left w:val="none" w:sz="0" w:space="0" w:color="auto"/>
            <w:bottom w:val="none" w:sz="0" w:space="0" w:color="auto"/>
            <w:right w:val="none" w:sz="0" w:space="0" w:color="auto"/>
          </w:divBdr>
        </w:div>
        <w:div w:id="1817410052">
          <w:marLeft w:val="1166"/>
          <w:marRight w:val="0"/>
          <w:marTop w:val="0"/>
          <w:marBottom w:val="0"/>
          <w:divBdr>
            <w:top w:val="none" w:sz="0" w:space="0" w:color="auto"/>
            <w:left w:val="none" w:sz="0" w:space="0" w:color="auto"/>
            <w:bottom w:val="none" w:sz="0" w:space="0" w:color="auto"/>
            <w:right w:val="none" w:sz="0" w:space="0" w:color="auto"/>
          </w:divBdr>
        </w:div>
        <w:div w:id="1417632959">
          <w:marLeft w:val="547"/>
          <w:marRight w:val="0"/>
          <w:marTop w:val="0"/>
          <w:marBottom w:val="0"/>
          <w:divBdr>
            <w:top w:val="none" w:sz="0" w:space="0" w:color="auto"/>
            <w:left w:val="none" w:sz="0" w:space="0" w:color="auto"/>
            <w:bottom w:val="none" w:sz="0" w:space="0" w:color="auto"/>
            <w:right w:val="none" w:sz="0" w:space="0" w:color="auto"/>
          </w:divBdr>
        </w:div>
        <w:div w:id="197402992">
          <w:marLeft w:val="1166"/>
          <w:marRight w:val="0"/>
          <w:marTop w:val="0"/>
          <w:marBottom w:val="0"/>
          <w:divBdr>
            <w:top w:val="none" w:sz="0" w:space="0" w:color="auto"/>
            <w:left w:val="none" w:sz="0" w:space="0" w:color="auto"/>
            <w:bottom w:val="none" w:sz="0" w:space="0" w:color="auto"/>
            <w:right w:val="none" w:sz="0" w:space="0" w:color="auto"/>
          </w:divBdr>
        </w:div>
        <w:div w:id="2137141738">
          <w:marLeft w:val="547"/>
          <w:marRight w:val="0"/>
          <w:marTop w:val="0"/>
          <w:marBottom w:val="0"/>
          <w:divBdr>
            <w:top w:val="none" w:sz="0" w:space="0" w:color="auto"/>
            <w:left w:val="none" w:sz="0" w:space="0" w:color="auto"/>
            <w:bottom w:val="none" w:sz="0" w:space="0" w:color="auto"/>
            <w:right w:val="none" w:sz="0" w:space="0" w:color="auto"/>
          </w:divBdr>
        </w:div>
        <w:div w:id="64454356">
          <w:marLeft w:val="1166"/>
          <w:marRight w:val="0"/>
          <w:marTop w:val="0"/>
          <w:marBottom w:val="0"/>
          <w:divBdr>
            <w:top w:val="none" w:sz="0" w:space="0" w:color="auto"/>
            <w:left w:val="none" w:sz="0" w:space="0" w:color="auto"/>
            <w:bottom w:val="none" w:sz="0" w:space="0" w:color="auto"/>
            <w:right w:val="none" w:sz="0" w:space="0" w:color="auto"/>
          </w:divBdr>
        </w:div>
        <w:div w:id="2095974059">
          <w:marLeft w:val="547"/>
          <w:marRight w:val="0"/>
          <w:marTop w:val="0"/>
          <w:marBottom w:val="0"/>
          <w:divBdr>
            <w:top w:val="none" w:sz="0" w:space="0" w:color="auto"/>
            <w:left w:val="none" w:sz="0" w:space="0" w:color="auto"/>
            <w:bottom w:val="none" w:sz="0" w:space="0" w:color="auto"/>
            <w:right w:val="none" w:sz="0" w:space="0" w:color="auto"/>
          </w:divBdr>
        </w:div>
        <w:div w:id="477847912">
          <w:marLeft w:val="1166"/>
          <w:marRight w:val="0"/>
          <w:marTop w:val="0"/>
          <w:marBottom w:val="0"/>
          <w:divBdr>
            <w:top w:val="none" w:sz="0" w:space="0" w:color="auto"/>
            <w:left w:val="none" w:sz="0" w:space="0" w:color="auto"/>
            <w:bottom w:val="none" w:sz="0" w:space="0" w:color="auto"/>
            <w:right w:val="none" w:sz="0" w:space="0" w:color="auto"/>
          </w:divBdr>
        </w:div>
        <w:div w:id="1023508164">
          <w:marLeft w:val="547"/>
          <w:marRight w:val="0"/>
          <w:marTop w:val="0"/>
          <w:marBottom w:val="0"/>
          <w:divBdr>
            <w:top w:val="none" w:sz="0" w:space="0" w:color="auto"/>
            <w:left w:val="none" w:sz="0" w:space="0" w:color="auto"/>
            <w:bottom w:val="none" w:sz="0" w:space="0" w:color="auto"/>
            <w:right w:val="none" w:sz="0" w:space="0" w:color="auto"/>
          </w:divBdr>
        </w:div>
        <w:div w:id="159781382">
          <w:marLeft w:val="1166"/>
          <w:marRight w:val="0"/>
          <w:marTop w:val="0"/>
          <w:marBottom w:val="0"/>
          <w:divBdr>
            <w:top w:val="none" w:sz="0" w:space="0" w:color="auto"/>
            <w:left w:val="none" w:sz="0" w:space="0" w:color="auto"/>
            <w:bottom w:val="none" w:sz="0" w:space="0" w:color="auto"/>
            <w:right w:val="none" w:sz="0" w:space="0" w:color="auto"/>
          </w:divBdr>
        </w:div>
      </w:divsChild>
    </w:div>
    <w:div w:id="2069302008">
      <w:bodyDiv w:val="1"/>
      <w:marLeft w:val="0"/>
      <w:marRight w:val="0"/>
      <w:marTop w:val="0"/>
      <w:marBottom w:val="0"/>
      <w:divBdr>
        <w:top w:val="none" w:sz="0" w:space="0" w:color="auto"/>
        <w:left w:val="none" w:sz="0" w:space="0" w:color="auto"/>
        <w:bottom w:val="none" w:sz="0" w:space="0" w:color="auto"/>
        <w:right w:val="none" w:sz="0" w:space="0" w:color="auto"/>
      </w:divBdr>
      <w:divsChild>
        <w:div w:id="636452006">
          <w:marLeft w:val="547"/>
          <w:marRight w:val="0"/>
          <w:marTop w:val="0"/>
          <w:marBottom w:val="0"/>
          <w:divBdr>
            <w:top w:val="none" w:sz="0" w:space="0" w:color="auto"/>
            <w:left w:val="none" w:sz="0" w:space="0" w:color="auto"/>
            <w:bottom w:val="none" w:sz="0" w:space="0" w:color="auto"/>
            <w:right w:val="none" w:sz="0" w:space="0" w:color="auto"/>
          </w:divBdr>
        </w:div>
        <w:div w:id="374086471">
          <w:marLeft w:val="1166"/>
          <w:marRight w:val="0"/>
          <w:marTop w:val="0"/>
          <w:marBottom w:val="0"/>
          <w:divBdr>
            <w:top w:val="none" w:sz="0" w:space="0" w:color="auto"/>
            <w:left w:val="none" w:sz="0" w:space="0" w:color="auto"/>
            <w:bottom w:val="none" w:sz="0" w:space="0" w:color="auto"/>
            <w:right w:val="none" w:sz="0" w:space="0" w:color="auto"/>
          </w:divBdr>
        </w:div>
        <w:div w:id="843666725">
          <w:marLeft w:val="547"/>
          <w:marRight w:val="0"/>
          <w:marTop w:val="0"/>
          <w:marBottom w:val="0"/>
          <w:divBdr>
            <w:top w:val="none" w:sz="0" w:space="0" w:color="auto"/>
            <w:left w:val="none" w:sz="0" w:space="0" w:color="auto"/>
            <w:bottom w:val="none" w:sz="0" w:space="0" w:color="auto"/>
            <w:right w:val="none" w:sz="0" w:space="0" w:color="auto"/>
          </w:divBdr>
        </w:div>
        <w:div w:id="1344431494">
          <w:marLeft w:val="1166"/>
          <w:marRight w:val="0"/>
          <w:marTop w:val="0"/>
          <w:marBottom w:val="0"/>
          <w:divBdr>
            <w:top w:val="none" w:sz="0" w:space="0" w:color="auto"/>
            <w:left w:val="none" w:sz="0" w:space="0" w:color="auto"/>
            <w:bottom w:val="none" w:sz="0" w:space="0" w:color="auto"/>
            <w:right w:val="none" w:sz="0" w:space="0" w:color="auto"/>
          </w:divBdr>
        </w:div>
        <w:div w:id="1310985667">
          <w:marLeft w:val="547"/>
          <w:marRight w:val="0"/>
          <w:marTop w:val="0"/>
          <w:marBottom w:val="0"/>
          <w:divBdr>
            <w:top w:val="none" w:sz="0" w:space="0" w:color="auto"/>
            <w:left w:val="none" w:sz="0" w:space="0" w:color="auto"/>
            <w:bottom w:val="none" w:sz="0" w:space="0" w:color="auto"/>
            <w:right w:val="none" w:sz="0" w:space="0" w:color="auto"/>
          </w:divBdr>
        </w:div>
        <w:div w:id="203753425">
          <w:marLeft w:val="1166"/>
          <w:marRight w:val="0"/>
          <w:marTop w:val="0"/>
          <w:marBottom w:val="0"/>
          <w:divBdr>
            <w:top w:val="none" w:sz="0" w:space="0" w:color="auto"/>
            <w:left w:val="none" w:sz="0" w:space="0" w:color="auto"/>
            <w:bottom w:val="none" w:sz="0" w:space="0" w:color="auto"/>
            <w:right w:val="none" w:sz="0" w:space="0" w:color="auto"/>
          </w:divBdr>
        </w:div>
        <w:div w:id="1603025095">
          <w:marLeft w:val="547"/>
          <w:marRight w:val="0"/>
          <w:marTop w:val="0"/>
          <w:marBottom w:val="0"/>
          <w:divBdr>
            <w:top w:val="none" w:sz="0" w:space="0" w:color="auto"/>
            <w:left w:val="none" w:sz="0" w:space="0" w:color="auto"/>
            <w:bottom w:val="none" w:sz="0" w:space="0" w:color="auto"/>
            <w:right w:val="none" w:sz="0" w:space="0" w:color="auto"/>
          </w:divBdr>
        </w:div>
        <w:div w:id="1418592352">
          <w:marLeft w:val="1166"/>
          <w:marRight w:val="0"/>
          <w:marTop w:val="0"/>
          <w:marBottom w:val="0"/>
          <w:divBdr>
            <w:top w:val="none" w:sz="0" w:space="0" w:color="auto"/>
            <w:left w:val="none" w:sz="0" w:space="0" w:color="auto"/>
            <w:bottom w:val="none" w:sz="0" w:space="0" w:color="auto"/>
            <w:right w:val="none" w:sz="0" w:space="0" w:color="auto"/>
          </w:divBdr>
        </w:div>
        <w:div w:id="1087381598">
          <w:marLeft w:val="547"/>
          <w:marRight w:val="0"/>
          <w:marTop w:val="0"/>
          <w:marBottom w:val="0"/>
          <w:divBdr>
            <w:top w:val="none" w:sz="0" w:space="0" w:color="auto"/>
            <w:left w:val="none" w:sz="0" w:space="0" w:color="auto"/>
            <w:bottom w:val="none" w:sz="0" w:space="0" w:color="auto"/>
            <w:right w:val="none" w:sz="0" w:space="0" w:color="auto"/>
          </w:divBdr>
        </w:div>
        <w:div w:id="1966540543">
          <w:marLeft w:val="1166"/>
          <w:marRight w:val="0"/>
          <w:marTop w:val="0"/>
          <w:marBottom w:val="0"/>
          <w:divBdr>
            <w:top w:val="none" w:sz="0" w:space="0" w:color="auto"/>
            <w:left w:val="none" w:sz="0" w:space="0" w:color="auto"/>
            <w:bottom w:val="none" w:sz="0" w:space="0" w:color="auto"/>
            <w:right w:val="none" w:sz="0" w:space="0" w:color="auto"/>
          </w:divBdr>
        </w:div>
        <w:div w:id="714545607">
          <w:marLeft w:val="547"/>
          <w:marRight w:val="0"/>
          <w:marTop w:val="0"/>
          <w:marBottom w:val="0"/>
          <w:divBdr>
            <w:top w:val="none" w:sz="0" w:space="0" w:color="auto"/>
            <w:left w:val="none" w:sz="0" w:space="0" w:color="auto"/>
            <w:bottom w:val="none" w:sz="0" w:space="0" w:color="auto"/>
            <w:right w:val="none" w:sz="0" w:space="0" w:color="auto"/>
          </w:divBdr>
        </w:div>
        <w:div w:id="1187913402">
          <w:marLeft w:val="1166"/>
          <w:marRight w:val="0"/>
          <w:marTop w:val="0"/>
          <w:marBottom w:val="0"/>
          <w:divBdr>
            <w:top w:val="none" w:sz="0" w:space="0" w:color="auto"/>
            <w:left w:val="none" w:sz="0" w:space="0" w:color="auto"/>
            <w:bottom w:val="none" w:sz="0" w:space="0" w:color="auto"/>
            <w:right w:val="none" w:sz="0" w:space="0" w:color="auto"/>
          </w:divBdr>
        </w:div>
        <w:div w:id="1909195385">
          <w:marLeft w:val="547"/>
          <w:marRight w:val="0"/>
          <w:marTop w:val="0"/>
          <w:marBottom w:val="0"/>
          <w:divBdr>
            <w:top w:val="none" w:sz="0" w:space="0" w:color="auto"/>
            <w:left w:val="none" w:sz="0" w:space="0" w:color="auto"/>
            <w:bottom w:val="none" w:sz="0" w:space="0" w:color="auto"/>
            <w:right w:val="none" w:sz="0" w:space="0" w:color="auto"/>
          </w:divBdr>
        </w:div>
        <w:div w:id="1608151995">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code-of-conduct-for-directors-of-public-ent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sc.vic.gov.au/html-resources/code-of-conduct-for-victorian-public-sector-employ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D5F1410C84B4BADBCECF52C45F4EE"/>
        <w:category>
          <w:name w:val="General"/>
          <w:gallery w:val="placeholder"/>
        </w:category>
        <w:types>
          <w:type w:val="bbPlcHdr"/>
        </w:types>
        <w:behaviors>
          <w:behavior w:val="content"/>
        </w:behaviors>
        <w:guid w:val="{E8C22374-C91F-4A41-814C-BC4DBD31FA86}"/>
      </w:docPartPr>
      <w:docPartBody>
        <w:p w:rsidR="001D7614" w:rsidRDefault="001D7614">
          <w:pPr>
            <w:pStyle w:val="2E1D5F1410C84B4BADBCECF52C45F4EE"/>
          </w:pPr>
          <w:r>
            <w:rPr>
              <w:rStyle w:val="PlaceholderText"/>
              <w:color w:val="FF0000"/>
            </w:rPr>
            <w:t>&lt;&lt;X&gt;&gt;</w:t>
          </w:r>
        </w:p>
      </w:docPartBody>
    </w:docPart>
    <w:docPart>
      <w:docPartPr>
        <w:name w:val="C390F0BC73754237895AE4AB33784329"/>
        <w:category>
          <w:name w:val="General"/>
          <w:gallery w:val="placeholder"/>
        </w:category>
        <w:types>
          <w:type w:val="bbPlcHdr"/>
        </w:types>
        <w:behaviors>
          <w:behavior w:val="content"/>
        </w:behaviors>
        <w:guid w:val="{47D85D7E-214B-489F-98B8-EC5FD29D9826}"/>
      </w:docPartPr>
      <w:docPartBody>
        <w:p w:rsidR="001D7614" w:rsidRDefault="001D7614">
          <w:pPr>
            <w:pStyle w:val="C390F0BC73754237895AE4AB33784329"/>
          </w:pPr>
          <w:r w:rsidRPr="00CF27D6">
            <w:rPr>
              <w:color w:val="4472C4" w:themeColor="accent5"/>
            </w:rPr>
            <w:t>[</w:t>
          </w:r>
          <w:r w:rsidRPr="00CF27D6">
            <w:rPr>
              <w:b/>
              <w:i/>
              <w:color w:val="4472C4" w:themeColor="accent5"/>
            </w:rPr>
            <w:t>Instructions.</w:t>
          </w:r>
          <w:r w:rsidRPr="00CF27D6">
            <w:rPr>
              <w:color w:val="4472C4" w:themeColor="accent5"/>
            </w:rPr>
            <w:t xml:space="preserve"> Follow the prompts in each section to put your policy together. Don’t forget to select the policy type and SYD Security Marker in the footer. Delete this text once you’ve started writing your policy]</w:t>
          </w:r>
        </w:p>
      </w:docPartBody>
    </w:docPart>
    <w:docPart>
      <w:docPartPr>
        <w:name w:val="272A1AD063484EDBA70CA71CC14ABAE6"/>
        <w:category>
          <w:name w:val="General"/>
          <w:gallery w:val="placeholder"/>
        </w:category>
        <w:types>
          <w:type w:val="bbPlcHdr"/>
        </w:types>
        <w:behaviors>
          <w:behavior w:val="content"/>
        </w:behaviors>
        <w:guid w:val="{015A3A9D-B560-4546-8DEE-EE94912DD9A9}"/>
      </w:docPartPr>
      <w:docPartBody>
        <w:p w:rsidR="001D7614" w:rsidRDefault="001D7614">
          <w:pPr>
            <w:pStyle w:val="272A1AD063484EDBA70CA71CC14ABAE6"/>
          </w:pPr>
          <w:r w:rsidRPr="009F4C0C">
            <w:rPr>
              <w:rStyle w:val="PlaceholderText"/>
            </w:rPr>
            <w:t>[</w:t>
          </w:r>
          <w:r>
            <w:rPr>
              <w:rStyle w:val="PlaceholderText"/>
              <w:b/>
              <w:i/>
            </w:rPr>
            <w:t>E</w:t>
          </w:r>
          <w:r w:rsidRPr="002B4EA4">
            <w:rPr>
              <w:rStyle w:val="PlaceholderText"/>
              <w:b/>
              <w:i/>
            </w:rPr>
            <w:t>nter your policy statement here.</w:t>
          </w:r>
          <w:r>
            <w:rPr>
              <w:rStyle w:val="PlaceholderText"/>
            </w:rPr>
            <w:t xml:space="preserve"> The </w:t>
          </w:r>
          <w:r w:rsidRPr="00243936">
            <w:rPr>
              <w:rStyle w:val="PlaceholderText"/>
              <w:i/>
            </w:rPr>
            <w:t>policy statement</w:t>
          </w:r>
          <w:r w:rsidRPr="00243936">
            <w:rPr>
              <w:rStyle w:val="PlaceholderText"/>
            </w:rPr>
            <w:t xml:space="preserve"> </w:t>
          </w:r>
          <w:r>
            <w:rPr>
              <w:rStyle w:val="PlaceholderText"/>
            </w:rPr>
            <w:t xml:space="preserve">a short statement about the </w:t>
          </w:r>
          <w:r w:rsidRPr="00D0031A">
            <w:rPr>
              <w:rStyle w:val="PlaceholderText"/>
              <w:b/>
            </w:rPr>
            <w:t>intent</w:t>
          </w:r>
          <w:r>
            <w:rPr>
              <w:rStyle w:val="PlaceholderText"/>
            </w:rPr>
            <w:t xml:space="preserve"> of the policy and should clearly express the position Gippsland Water has adopted on the policy topic. It sets the scene for the rest of the policy by capturing the high level commitment we have made. It typically describes the ultimate goal of the policy (the ‘end game’) and m</w:t>
          </w:r>
          <w:r w:rsidRPr="008A5AF9">
            <w:rPr>
              <w:rStyle w:val="PlaceholderText"/>
            </w:rPr>
            <w:t>ay also</w:t>
          </w:r>
          <w:r>
            <w:rPr>
              <w:rStyle w:val="PlaceholderText"/>
              <w:b/>
            </w:rPr>
            <w:t xml:space="preserve"> briefly </w:t>
          </w:r>
          <w:r>
            <w:rPr>
              <w:rStyle w:val="PlaceholderText"/>
            </w:rPr>
            <w:t xml:space="preserve">refer to applicable </w:t>
          </w:r>
          <w:r w:rsidRPr="000A747C">
            <w:rPr>
              <w:rStyle w:val="PlaceholderText"/>
            </w:rPr>
            <w:t>regulations</w:t>
          </w:r>
          <w:r>
            <w:rPr>
              <w:rStyle w:val="PlaceholderText"/>
            </w:rPr>
            <w:t>]</w:t>
          </w:r>
        </w:p>
      </w:docPartBody>
    </w:docPart>
    <w:docPart>
      <w:docPartPr>
        <w:name w:val="AFB31E835B77493BB4DDC20C8FFFDA7C"/>
        <w:category>
          <w:name w:val="General"/>
          <w:gallery w:val="placeholder"/>
        </w:category>
        <w:types>
          <w:type w:val="bbPlcHdr"/>
        </w:types>
        <w:behaviors>
          <w:behavior w:val="content"/>
        </w:behaviors>
        <w:guid w:val="{17C433B5-A37F-4B51-BB9C-8FAB3BBEFB3D}"/>
      </w:docPartPr>
      <w:docPartBody>
        <w:p w:rsidR="001D7614" w:rsidRDefault="001D7614">
          <w:pPr>
            <w:pStyle w:val="AFB31E835B77493BB4DDC20C8FFFDA7C"/>
          </w:pPr>
          <w:r w:rsidRPr="009F4C0C">
            <w:rPr>
              <w:rStyle w:val="PlaceholderText"/>
            </w:rPr>
            <w:t>[</w:t>
          </w:r>
          <w:r>
            <w:rPr>
              <w:rStyle w:val="PlaceholderText"/>
              <w:b/>
              <w:i/>
            </w:rPr>
            <w:t xml:space="preserve">Explain </w:t>
          </w:r>
          <w:r w:rsidRPr="008702B1">
            <w:rPr>
              <w:rStyle w:val="PlaceholderText"/>
              <w:b/>
              <w:i/>
            </w:rPr>
            <w:t>the purpose of your policy here.</w:t>
          </w:r>
          <w:r>
            <w:rPr>
              <w:rStyle w:val="PlaceholderText"/>
            </w:rPr>
            <w:t xml:space="preserve"> The </w:t>
          </w:r>
          <w:r w:rsidRPr="00102156">
            <w:rPr>
              <w:rStyle w:val="PlaceholderText"/>
              <w:i/>
            </w:rPr>
            <w:t>purpose statement</w:t>
          </w:r>
          <w:r>
            <w:rPr>
              <w:rStyle w:val="PlaceholderText"/>
            </w:rPr>
            <w:t xml:space="preserve"> should be a short statement outlining</w:t>
          </w:r>
          <w:r w:rsidRPr="008702B1">
            <w:rPr>
              <w:rStyle w:val="PlaceholderText"/>
            </w:rPr>
            <w:t xml:space="preserve"> </w:t>
          </w:r>
          <w:r w:rsidRPr="009617F1">
            <w:rPr>
              <w:rStyle w:val="PlaceholderText"/>
              <w:b/>
            </w:rPr>
            <w:t>why</w:t>
          </w:r>
          <w:r w:rsidRPr="008702B1">
            <w:rPr>
              <w:rStyle w:val="PlaceholderText"/>
            </w:rPr>
            <w:t xml:space="preserve"> </w:t>
          </w:r>
          <w:r>
            <w:rPr>
              <w:rStyle w:val="PlaceholderText"/>
            </w:rPr>
            <w:t>Gippsland Water</w:t>
          </w:r>
          <w:r w:rsidRPr="008702B1">
            <w:rPr>
              <w:rStyle w:val="PlaceholderText"/>
            </w:rPr>
            <w:t xml:space="preserve"> is issuing the policy and what its desired effect</w:t>
          </w:r>
          <w:r>
            <w:rPr>
              <w:rStyle w:val="PlaceholderText"/>
            </w:rPr>
            <w:t>(s)</w:t>
          </w:r>
          <w:r w:rsidRPr="008702B1">
            <w:rPr>
              <w:rStyle w:val="PlaceholderText"/>
            </w:rPr>
            <w:t xml:space="preserve"> or outcome</w:t>
          </w:r>
          <w:r>
            <w:rPr>
              <w:rStyle w:val="PlaceholderText"/>
            </w:rPr>
            <w:t>(s)</w:t>
          </w:r>
          <w:r w:rsidRPr="008702B1">
            <w:rPr>
              <w:rStyle w:val="PlaceholderText"/>
            </w:rPr>
            <w:t xml:space="preserve"> should</w:t>
          </w:r>
          <w:r>
            <w:rPr>
              <w:rStyle w:val="PlaceholderText"/>
            </w:rPr>
            <w:t xml:space="preserve"> be. Remember - the purpose statement is an outline and should stop short of explaining each effect or outcome in detail as this should be done in </w:t>
          </w:r>
          <w:r w:rsidRPr="00243936">
            <w:rPr>
              <w:rStyle w:val="PlaceholderText"/>
            </w:rPr>
            <w:t xml:space="preserve">the </w:t>
          </w:r>
          <w:r w:rsidRPr="00243936">
            <w:rPr>
              <w:rStyle w:val="PlaceholderText"/>
              <w:i/>
            </w:rPr>
            <w:t>policy details</w:t>
          </w:r>
          <w:r>
            <w:rPr>
              <w:rStyle w:val="PlaceholderText"/>
            </w:rPr>
            <w:t xml:space="preserve"> section]</w:t>
          </w:r>
        </w:p>
      </w:docPartBody>
    </w:docPart>
    <w:docPart>
      <w:docPartPr>
        <w:name w:val="51D230A32FE0427EA72DBFB55B54B6FC"/>
        <w:category>
          <w:name w:val="General"/>
          <w:gallery w:val="placeholder"/>
        </w:category>
        <w:types>
          <w:type w:val="bbPlcHdr"/>
        </w:types>
        <w:behaviors>
          <w:behavior w:val="content"/>
        </w:behaviors>
        <w:guid w:val="{EE5A10BB-5864-4011-8124-8F834F69A828}"/>
      </w:docPartPr>
      <w:docPartBody>
        <w:p w:rsidR="001D7614" w:rsidRDefault="001D7614">
          <w:pPr>
            <w:pStyle w:val="51D230A32FE0427EA72DBFB55B54B6FC"/>
          </w:pPr>
          <w:r w:rsidRPr="00B15E35">
            <w:rPr>
              <w:rStyle w:val="PlaceholderText"/>
            </w:rPr>
            <w:t>[</w:t>
          </w:r>
          <w:r>
            <w:rPr>
              <w:rStyle w:val="PlaceholderText"/>
              <w:b/>
              <w:i/>
            </w:rPr>
            <w:t>E</w:t>
          </w:r>
          <w:r w:rsidRPr="00EB31A2">
            <w:rPr>
              <w:rStyle w:val="PlaceholderText"/>
              <w:b/>
              <w:i/>
            </w:rPr>
            <w:t>xplain the scope of your policy here.</w:t>
          </w:r>
          <w:r>
            <w:rPr>
              <w:rStyle w:val="PlaceholderText"/>
            </w:rPr>
            <w:t xml:space="preserve"> The scope statement describes</w:t>
          </w:r>
          <w:r w:rsidRPr="00EB31A2">
            <w:rPr>
              <w:rStyle w:val="PlaceholderText"/>
            </w:rPr>
            <w:t xml:space="preserve"> who the policy affects and which actions are impacted by the policy. The applicability and scope may expressly exclude certain people, organi</w:t>
          </w:r>
          <w:r>
            <w:rPr>
              <w:rStyle w:val="PlaceholderText"/>
            </w:rPr>
            <w:t>s</w:t>
          </w:r>
          <w:r w:rsidRPr="00EB31A2">
            <w:rPr>
              <w:rStyle w:val="PlaceholderText"/>
            </w:rPr>
            <w:t xml:space="preserve">ations, or actions from the policy requirements. </w:t>
          </w:r>
          <w:r>
            <w:rPr>
              <w:rStyle w:val="PlaceholderText"/>
            </w:rPr>
            <w:t xml:space="preserve">The </w:t>
          </w:r>
          <w:r w:rsidRPr="00EB31A2">
            <w:rPr>
              <w:rStyle w:val="PlaceholderText"/>
            </w:rPr>
            <w:t>scope is used to focus the policy on only the desired targets, and avoid unintended consequences where possible</w:t>
          </w:r>
          <w:r>
            <w:rPr>
              <w:rStyle w:val="PlaceholderText"/>
            </w:rPr>
            <w:t>]</w:t>
          </w:r>
        </w:p>
      </w:docPartBody>
    </w:docPart>
    <w:docPart>
      <w:docPartPr>
        <w:name w:val="D62122E755D94AB9921DF8A5C9200B23"/>
        <w:category>
          <w:name w:val="General"/>
          <w:gallery w:val="placeholder"/>
        </w:category>
        <w:types>
          <w:type w:val="bbPlcHdr"/>
        </w:types>
        <w:behaviors>
          <w:behavior w:val="content"/>
        </w:behaviors>
        <w:guid w:val="{1AC9BB16-A20E-4836-9258-1692FCFD1454}"/>
      </w:docPartPr>
      <w:docPartBody>
        <w:p w:rsidR="001D7614" w:rsidRDefault="001D7614">
          <w:pPr>
            <w:pStyle w:val="D62122E755D94AB9921DF8A5C9200B23"/>
          </w:pPr>
          <w:r w:rsidRPr="002D26E5">
            <w:rPr>
              <w:rStyle w:val="PlaceholderText"/>
            </w:rPr>
            <w:t>[</w:t>
          </w:r>
          <w:r>
            <w:rPr>
              <w:rStyle w:val="PlaceholderText"/>
              <w:b/>
              <w:i/>
            </w:rPr>
            <w:t>List our commitments</w:t>
          </w:r>
          <w:r w:rsidRPr="00EB31A2">
            <w:rPr>
              <w:rStyle w:val="PlaceholderText"/>
              <w:b/>
              <w:i/>
            </w:rPr>
            <w:t xml:space="preserve"> here.</w:t>
          </w:r>
          <w:r>
            <w:rPr>
              <w:rStyle w:val="PlaceholderText"/>
            </w:rPr>
            <w:t xml:space="preserve"> The policy details section is a clear and concise summary of the strategy Gippsland Water commits to, i.e. actions and behaviours, in order to deliver the policy’s purpose and outcomes. Remember – these should be strategic and should focus on </w:t>
          </w:r>
          <w:r w:rsidRPr="00E95373">
            <w:rPr>
              <w:rStyle w:val="PlaceholderText"/>
              <w:b/>
            </w:rPr>
            <w:t>what</w:t>
          </w:r>
          <w:r>
            <w:rPr>
              <w:rStyle w:val="PlaceholderText"/>
            </w:rPr>
            <w:t xml:space="preserve"> we will do rather than </w:t>
          </w:r>
          <w:r>
            <w:rPr>
              <w:rStyle w:val="PlaceholderText"/>
              <w:b/>
            </w:rPr>
            <w:t>how</w:t>
          </w:r>
          <w:r>
            <w:rPr>
              <w:rStyle w:val="PlaceholderText"/>
            </w:rPr>
            <w:t xml:space="preserve"> we will do it]</w:t>
          </w:r>
        </w:p>
      </w:docPartBody>
    </w:docPart>
    <w:docPart>
      <w:docPartPr>
        <w:name w:val="86BD36569FB147F280232BE06D250AA9"/>
        <w:category>
          <w:name w:val="General"/>
          <w:gallery w:val="placeholder"/>
        </w:category>
        <w:types>
          <w:type w:val="bbPlcHdr"/>
        </w:types>
        <w:behaviors>
          <w:behavior w:val="content"/>
        </w:behaviors>
        <w:guid w:val="{5B7C00F0-C5FA-4D89-ACF1-8FD213793C65}"/>
      </w:docPartPr>
      <w:docPartBody>
        <w:p w:rsidR="001D7614" w:rsidRDefault="001D7614">
          <w:pPr>
            <w:pStyle w:val="86BD36569FB147F280232BE06D250AA9"/>
          </w:pPr>
          <w:r>
            <w:rPr>
              <w:rStyle w:val="PlaceholderText"/>
            </w:rPr>
            <w:t>[Responsible Officer]</w:t>
          </w:r>
        </w:p>
      </w:docPartBody>
    </w:docPart>
    <w:docPart>
      <w:docPartPr>
        <w:name w:val="8580D089D7274973899E61250176DD12"/>
        <w:category>
          <w:name w:val="General"/>
          <w:gallery w:val="placeholder"/>
        </w:category>
        <w:types>
          <w:type w:val="bbPlcHdr"/>
        </w:types>
        <w:behaviors>
          <w:behavior w:val="content"/>
        </w:behaviors>
        <w:guid w:val="{8DA3241F-095D-45BF-9DA4-7921A59481AB}"/>
      </w:docPartPr>
      <w:docPartBody>
        <w:p w:rsidR="001D7614" w:rsidRDefault="001D7614">
          <w:pPr>
            <w:pStyle w:val="8580D089D7274973899E61250176DD12"/>
          </w:pPr>
          <w:r>
            <w:rPr>
              <w:rStyle w:val="PlaceholderText"/>
            </w:rPr>
            <w:t>[Review Frequency]</w:t>
          </w:r>
        </w:p>
      </w:docPartBody>
    </w:docPart>
    <w:docPart>
      <w:docPartPr>
        <w:name w:val="FB8412DDAFFE471FA9F605B9EE544F97"/>
        <w:category>
          <w:name w:val="General"/>
          <w:gallery w:val="placeholder"/>
        </w:category>
        <w:types>
          <w:type w:val="bbPlcHdr"/>
        </w:types>
        <w:behaviors>
          <w:behavior w:val="content"/>
        </w:behaviors>
        <w:guid w:val="{1DB3BB45-5727-4C62-A573-1BF3953EEBD7}"/>
      </w:docPartPr>
      <w:docPartBody>
        <w:p w:rsidR="001D7614" w:rsidRDefault="001D7614">
          <w:pPr>
            <w:pStyle w:val="FB8412DDAFFE471FA9F605B9EE544F97"/>
          </w:pPr>
          <w:r>
            <w:rPr>
              <w:rStyle w:val="PlaceholderText"/>
            </w:rPr>
            <w:t>[Approving Body]</w:t>
          </w:r>
        </w:p>
      </w:docPartBody>
    </w:docPart>
    <w:docPart>
      <w:docPartPr>
        <w:name w:val="E825B61CC36A4682AF43A928E40B42B3"/>
        <w:category>
          <w:name w:val="General"/>
          <w:gallery w:val="placeholder"/>
        </w:category>
        <w:types>
          <w:type w:val="bbPlcHdr"/>
        </w:types>
        <w:behaviors>
          <w:behavior w:val="content"/>
        </w:behaviors>
        <w:guid w:val="{E4C1E17D-7B0B-4908-8356-6CC6EBDA35D9}"/>
      </w:docPartPr>
      <w:docPartBody>
        <w:p w:rsidR="001D7614" w:rsidRDefault="001D7614">
          <w:pPr>
            <w:pStyle w:val="E825B61CC36A4682AF43A928E40B42B3"/>
          </w:pPr>
          <w:r>
            <w:rPr>
              <w:rStyle w:val="PlaceholderText"/>
            </w:rPr>
            <w:t>[</w:t>
          </w:r>
          <w:r w:rsidRPr="009E51E1">
            <w:rPr>
              <w:rStyle w:val="PlaceholderText"/>
              <w:b/>
              <w:i/>
            </w:rPr>
            <w:t>Optional section</w:t>
          </w:r>
          <w:r>
            <w:rPr>
              <w:rStyle w:val="PlaceholderText"/>
              <w:b/>
              <w:i/>
            </w:rPr>
            <w:t xml:space="preserve"> – this may be deleted if not required</w:t>
          </w:r>
          <w:r w:rsidRPr="009E51E1">
            <w:rPr>
              <w:rStyle w:val="PlaceholderText"/>
              <w:b/>
              <w:i/>
            </w:rPr>
            <w:t>.</w:t>
          </w:r>
          <w:r>
            <w:rPr>
              <w:rStyle w:val="PlaceholderText"/>
            </w:rPr>
            <w:t xml:space="preserve"> This section is a list of any fundamental documents, legislation, etc. which underpin the policy and its purpose which are </w:t>
          </w:r>
          <w:r w:rsidRPr="00F00513">
            <w:rPr>
              <w:rStyle w:val="PlaceholderText"/>
            </w:rPr>
            <w:t xml:space="preserve">indispensable to </w:t>
          </w:r>
          <w:r>
            <w:rPr>
              <w:rStyle w:val="PlaceholderText"/>
            </w:rPr>
            <w:t xml:space="preserve">its </w:t>
          </w:r>
          <w:r w:rsidRPr="00F00513">
            <w:rPr>
              <w:rStyle w:val="PlaceholderText"/>
            </w:rPr>
            <w:t>application</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altName w:val="Microsoft YaHei Light"/>
    <w:charset w:val="00"/>
    <w:family w:val="swiss"/>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14"/>
    <w:rsid w:val="001D7614"/>
    <w:rsid w:val="00522566"/>
    <w:rsid w:val="008B0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1D5F1410C84B4BADBCECF52C45F4EE">
    <w:name w:val="2E1D5F1410C84B4BADBCECF52C45F4EE"/>
  </w:style>
  <w:style w:type="paragraph" w:customStyle="1" w:styleId="C390F0BC73754237895AE4AB33784329">
    <w:name w:val="C390F0BC73754237895AE4AB33784329"/>
  </w:style>
  <w:style w:type="paragraph" w:customStyle="1" w:styleId="272A1AD063484EDBA70CA71CC14ABAE6">
    <w:name w:val="272A1AD063484EDBA70CA71CC14ABAE6"/>
  </w:style>
  <w:style w:type="paragraph" w:customStyle="1" w:styleId="AFB31E835B77493BB4DDC20C8FFFDA7C">
    <w:name w:val="AFB31E835B77493BB4DDC20C8FFFDA7C"/>
  </w:style>
  <w:style w:type="paragraph" w:customStyle="1" w:styleId="51D230A32FE0427EA72DBFB55B54B6FC">
    <w:name w:val="51D230A32FE0427EA72DBFB55B54B6FC"/>
  </w:style>
  <w:style w:type="paragraph" w:customStyle="1" w:styleId="D62122E755D94AB9921DF8A5C9200B23">
    <w:name w:val="D62122E755D94AB9921DF8A5C9200B23"/>
  </w:style>
  <w:style w:type="paragraph" w:customStyle="1" w:styleId="86BD36569FB147F280232BE06D250AA9">
    <w:name w:val="86BD36569FB147F280232BE06D250AA9"/>
  </w:style>
  <w:style w:type="paragraph" w:customStyle="1" w:styleId="8580D089D7274973899E61250176DD12">
    <w:name w:val="8580D089D7274973899E61250176DD12"/>
  </w:style>
  <w:style w:type="paragraph" w:customStyle="1" w:styleId="FB8412DDAFFE471FA9F605B9EE544F97">
    <w:name w:val="FB8412DDAFFE471FA9F605B9EE544F97"/>
  </w:style>
  <w:style w:type="paragraph" w:customStyle="1" w:styleId="E825B61CC36A4682AF43A928E40B42B3">
    <w:name w:val="E825B61CC36A4682AF43A928E40B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424242"/>
      </a:dk1>
      <a:lt1>
        <a:sysClr val="window" lastClr="FFFFFF"/>
      </a:lt1>
      <a:dk2>
        <a:srgbClr val="000000"/>
      </a:dk2>
      <a:lt2>
        <a:srgbClr val="B1B1B1"/>
      </a:lt2>
      <a:accent1>
        <a:srgbClr val="007CC2"/>
      </a:accent1>
      <a:accent2>
        <a:srgbClr val="0BD920"/>
      </a:accent2>
      <a:accent3>
        <a:srgbClr val="CFB50A"/>
      </a:accent3>
      <a:accent4>
        <a:srgbClr val="E62D87"/>
      </a:accent4>
      <a:accent5>
        <a:srgbClr val="CF270A"/>
      </a:accent5>
      <a:accent6>
        <a:srgbClr val="B4D1EE"/>
      </a:accent6>
      <a:hlink>
        <a:srgbClr val="424242"/>
      </a:hlink>
      <a:folHlink>
        <a:srgbClr val="42424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493771-b6c4-4963-81e8-00b2e8551f1f">ZM2KYDJYQZYX-261-8</_dlc_DocId>
    <_dlc_DocIdUrl xmlns="53493771-b6c4-4963-81e8-00b2e8551f1f">
      <Url>https://sp.gippswater.com.au/teams/exemptions/_layouts/15/DocIdRedir.aspx?ID=ZM2KYDJYQZYX-261-8</Url>
      <Description>ZM2KYDJYQZYX-261-8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7D452F0F2BA4C81E5F52C5AADD626" ma:contentTypeVersion="0" ma:contentTypeDescription="Create a new document." ma:contentTypeScope="" ma:versionID="879a89c5b571fa60b1008bbe5b8d8989">
  <xsd:schema xmlns:xsd="http://www.w3.org/2001/XMLSchema" xmlns:xs="http://www.w3.org/2001/XMLSchema" xmlns:p="http://schemas.microsoft.com/office/2006/metadata/properties" xmlns:ns2="53493771-b6c4-4963-81e8-00b2e8551f1f" targetNamespace="http://schemas.microsoft.com/office/2006/metadata/properties" ma:root="true" ma:fieldsID="624c219a144bbef7361c99d0f39225f7" ns2:_="">
    <xsd:import namespace="53493771-b6c4-4963-81e8-00b2e8551f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93771-b6c4-4963-81e8-00b2e8551f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044B-30F8-4466-B850-93FC16785EEE}">
  <ds:schemaRefs>
    <ds:schemaRef ds:uri="http://schemas.microsoft.com/sharepoint/events"/>
  </ds:schemaRefs>
</ds:datastoreItem>
</file>

<file path=customXml/itemProps2.xml><?xml version="1.0" encoding="utf-8"?>
<ds:datastoreItem xmlns:ds="http://schemas.openxmlformats.org/officeDocument/2006/customXml" ds:itemID="{5949C07B-156D-4375-B253-A64DB3BD1CAB}">
  <ds:schemaRefs>
    <ds:schemaRef ds:uri="http://schemas.microsoft.com/sharepoint/v3/contenttype/forms"/>
  </ds:schemaRefs>
</ds:datastoreItem>
</file>

<file path=customXml/itemProps3.xml><?xml version="1.0" encoding="utf-8"?>
<ds:datastoreItem xmlns:ds="http://schemas.openxmlformats.org/officeDocument/2006/customXml" ds:itemID="{4789468A-B71A-486D-841B-F87A9549531E}">
  <ds:schemaRefs>
    <ds:schemaRef ds:uri="http://schemas.microsoft.com/office/2006/metadata/properties"/>
    <ds:schemaRef ds:uri="http://schemas.microsoft.com/office/infopath/2007/PartnerControls"/>
    <ds:schemaRef ds:uri="53493771-b6c4-4963-81e8-00b2e8551f1f"/>
  </ds:schemaRefs>
</ds:datastoreItem>
</file>

<file path=customXml/itemProps4.xml><?xml version="1.0" encoding="utf-8"?>
<ds:datastoreItem xmlns:ds="http://schemas.openxmlformats.org/officeDocument/2006/customXml" ds:itemID="{7B2518F6-7421-4AE5-81B2-66B13DB2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93771-b6c4-4963-81e8-00b2e8551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AF8A7D-C9A1-49EB-AF01-74D03553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X</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creator>phillipsa</dc:creator>
  <cp:lastModifiedBy>Amy Phillips</cp:lastModifiedBy>
  <cp:revision>3</cp:revision>
  <cp:lastPrinted>2018-08-31T02:21:00Z</cp:lastPrinted>
  <dcterms:created xsi:type="dcterms:W3CDTF">2019-10-23T21:09:00Z</dcterms:created>
  <dcterms:modified xsi:type="dcterms:W3CDTF">2019-11-11T05:10:00Z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0x010100FEE7D452F0F2BA4C81E5F52C5AADD626</vt:lpwstr>
  </property>
  <property fmtid="{D5CDD505-2E9C-101B-9397-08002B2CF9AE}" pid="3" name="_dlc_DocIdItemGuid">
    <vt:lpwstr>d0fd24df-5e09-4da8-b5b7-0e5f626a453e</vt:lpwstr>
  </property>
</Properties>
</file>